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4"/>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ごみ処理施設整備条件整理調査業務</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公募型プロポーザル</w:t>
      </w: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評価基準書</w:t>
      </w: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p>
    <w:p>
      <w:pPr>
        <w:pStyle w:val="0"/>
        <w:jc w:val="center"/>
        <w:rPr>
          <w:rFonts w:hint="eastAsia" w:ascii="BIZ UDゴシック" w:hAnsi="BIZ UDゴシック" w:eastAsia="BIZ UDゴシック"/>
          <w:sz w:val="40"/>
        </w:rPr>
      </w:pPr>
      <w:r>
        <w:rPr>
          <w:rFonts w:hint="eastAsia" w:ascii="BIZ UDゴシック" w:hAnsi="BIZ UDゴシック" w:eastAsia="BIZ UDゴシック"/>
          <w:sz w:val="40"/>
        </w:rPr>
        <w:t>いなべ市菰野町清掃事務組合</w:t>
      </w:r>
    </w:p>
    <w:p>
      <w:pPr>
        <w:pStyle w:val="0"/>
        <w:jc w:val="center"/>
        <w:rPr>
          <w:rFonts w:hint="eastAsia" w:ascii="BIZ UDゴシック" w:hAnsi="BIZ UDゴシック" w:eastAsia="BIZ UDゴシック"/>
        </w:rPr>
      </w:pPr>
      <w:r>
        <w:rPr>
          <w:rFonts w:hint="eastAsia" w:ascii="BIZ UDゴシック" w:hAnsi="BIZ UDゴシック" w:eastAsia="BIZ UDゴシック"/>
          <w:sz w:val="40"/>
        </w:rPr>
        <w:t>施設課</w:t>
      </w:r>
      <w:r>
        <w:rPr>
          <w:rFonts w:hint="eastAsia"/>
        </w:rPr>
        <w:br w:type="page"/>
      </w:r>
    </w:p>
    <w:p>
      <w:pPr>
        <w:pStyle w:val="0"/>
        <w:jc w:val="left"/>
        <w:rPr>
          <w:rFonts w:hint="eastAsia" w:ascii="BIZ UDゴシック" w:hAnsi="BIZ UDゴシック" w:eastAsia="BIZ UDゴシック"/>
        </w:rPr>
      </w:pPr>
      <w:r>
        <w:rPr>
          <w:rFonts w:hint="eastAsia" w:ascii="BIZ UDゴシック" w:hAnsi="BIZ UDゴシック" w:eastAsia="BIZ UDゴシック"/>
        </w:rPr>
        <w:t>１　総則</w:t>
      </w:r>
    </w:p>
    <w:p>
      <w:pPr>
        <w:pStyle w:val="0"/>
        <w:jc w:val="left"/>
        <w:rPr>
          <w:rFonts w:hint="eastAsia" w:ascii="BIZ UDゴシック" w:hAnsi="BIZ UDゴシック" w:eastAsia="BIZ UDゴシック"/>
        </w:rPr>
      </w:pPr>
      <w:r>
        <w:rPr>
          <w:rFonts w:hint="eastAsia" w:ascii="BIZ UDゴシック" w:hAnsi="BIZ UDゴシック" w:eastAsia="BIZ UDゴシック"/>
        </w:rPr>
        <w:t>　この評価基準書は、ごみ処理施設整備条件整理調査業務公募型プロポーザル選定委員が、契約候補者及び次席者を決定するにあたり、最も優れた提案を客観的に評価及び選定するための方法及び基準等を示し、プロポーザル参加者の行う提案に具体的な指針を与えるものである。</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２　評価項目</w:t>
      </w:r>
    </w:p>
    <w:p>
      <w:pPr>
        <w:pStyle w:val="0"/>
        <w:jc w:val="left"/>
        <w:rPr>
          <w:rFonts w:hint="eastAsia" w:ascii="BIZ UDゴシック" w:hAnsi="BIZ UDゴシック" w:eastAsia="BIZ UDゴシック"/>
        </w:rPr>
      </w:pPr>
      <w:r>
        <w:rPr>
          <w:rFonts w:hint="eastAsia" w:ascii="BIZ UDゴシック" w:hAnsi="BIZ UDゴシック" w:eastAsia="BIZ UDゴシック"/>
        </w:rPr>
        <w:t>　評価項目及び配点は、以下のとおりとする。</w:t>
      </w:r>
    </w:p>
    <w:p>
      <w:pPr>
        <w:pStyle w:val="0"/>
        <w:jc w:val="left"/>
        <w:rPr>
          <w:rFonts w:hint="eastAsia" w:ascii="BIZ UDゴシック" w:hAnsi="BIZ UDゴシック" w:eastAsia="BIZ UDゴシック"/>
        </w:rPr>
      </w:pPr>
    </w:p>
    <w:tbl>
      <w:tblPr>
        <w:tblStyle w:val="25"/>
        <w:tblpPr w:leftFromText="0" w:rightFromText="0" w:topFromText="0" w:bottomFromText="0" w:vertAnchor="text" w:horzAnchor="margin" w:tblpX="1256" w:tblpY="15"/>
        <w:tblOverlap w:val="never"/>
        <w:tblW w:w="6480" w:type="dxa"/>
        <w:tblLayout w:type="fixed"/>
        <w:tblLook w:firstRow="1" w:lastRow="0" w:firstColumn="1" w:lastColumn="0" w:noHBand="0" w:noVBand="1" w:val="04A0"/>
      </w:tblPr>
      <w:tblGrid>
        <w:gridCol w:w="3240"/>
        <w:gridCol w:w="3240"/>
      </w:tblGrid>
      <w:tr>
        <w:trPr/>
        <w:tc>
          <w:tcPr>
            <w:tcW w:w="3240"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評価項目</w:t>
            </w:r>
          </w:p>
        </w:tc>
        <w:tc>
          <w:tcPr>
            <w:tcW w:w="3240"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w:t>
            </w:r>
          </w:p>
        </w:tc>
      </w:tr>
      <w:tr>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業務企画能力評価</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４５点</w:t>
            </w:r>
          </w:p>
        </w:tc>
      </w:tr>
      <w:tr>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業務遂行能力評価</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４５点</w:t>
            </w:r>
          </w:p>
        </w:tc>
      </w:tr>
      <w:tr>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見積金額評価</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r>
      <w:tr>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合計</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１００点</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３　業務企画能力評価</w:t>
      </w:r>
    </w:p>
    <w:p>
      <w:pPr>
        <w:pStyle w:val="0"/>
        <w:jc w:val="left"/>
        <w:rPr>
          <w:rFonts w:hint="eastAsia" w:ascii="BIZ UDゴシック" w:hAnsi="BIZ UDゴシック" w:eastAsia="BIZ UDゴシック"/>
        </w:rPr>
      </w:pPr>
      <w:r>
        <w:rPr>
          <w:rFonts w:hint="eastAsia" w:ascii="BIZ UDゴシック" w:hAnsi="BIZ UDゴシック" w:eastAsia="BIZ UDゴシック"/>
        </w:rPr>
        <w:t>　提出された企画提案書等により、選定委員が提案内容の評価を行う。</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評価項目及び配点は以下のとおりとする。５段階で評価することを基本とする。</w:t>
      </w:r>
    </w:p>
    <w:p>
      <w:pPr>
        <w:pStyle w:val="0"/>
        <w:ind w:firstLine="220" w:firstLineChars="100"/>
        <w:jc w:val="left"/>
        <w:rPr>
          <w:rFonts w:hint="eastAsia" w:ascii="BIZ UDゴシック" w:hAnsi="BIZ UDゴシック" w:eastAsia="BIZ UDゴシック"/>
        </w:rPr>
      </w:pPr>
    </w:p>
    <w:tbl>
      <w:tblPr>
        <w:tblStyle w:val="25"/>
        <w:tblW w:w="8820" w:type="dxa"/>
        <w:tblInd w:w="-5" w:type="dxa"/>
        <w:tblLayout w:type="fixed"/>
        <w:tblLook w:firstRow="1" w:lastRow="0" w:firstColumn="1" w:lastColumn="0" w:noHBand="0" w:noVBand="1" w:val="04A0"/>
      </w:tblPr>
      <w:tblGrid>
        <w:gridCol w:w="1985"/>
        <w:gridCol w:w="992"/>
        <w:gridCol w:w="5843"/>
      </w:tblGrid>
      <w:tr>
        <w:trPr/>
        <w:tc>
          <w:tcPr>
            <w:tcW w:w="1985" w:type="dxa"/>
            <w:shd w:val="clear" w:color="auto" w:themeFill="background2" w:themeFillTint="FF" w:themeFillShade="FF"/>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評価項目</w:t>
            </w:r>
          </w:p>
        </w:tc>
        <w:tc>
          <w:tcPr>
            <w:tcW w:w="992"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w:t>
            </w:r>
          </w:p>
        </w:tc>
        <w:tc>
          <w:tcPr>
            <w:tcW w:w="5843" w:type="dxa"/>
            <w:shd w:val="clear" w:color="auto" w:themeFill="background2" w:themeFillTint="FF" w:themeFillShade="FF"/>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評価基準</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事業内容の理解</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活断層の位置の特定するための地質調査、その結果を踏まえた施設配置計画の策定が目的と理解しているか。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地質調査の実施</w:t>
            </w:r>
          </w:p>
          <w:p>
            <w:pPr>
              <w:pStyle w:val="0"/>
              <w:jc w:val="both"/>
              <w:rPr>
                <w:rFonts w:hint="eastAsia" w:ascii="BIZ UDゴシック" w:hAnsi="BIZ UDゴシック" w:eastAsia="BIZ UDゴシック"/>
              </w:rPr>
            </w:pPr>
            <w:r>
              <w:rPr>
                <w:rFonts w:hint="eastAsia" w:ascii="BIZ UDゴシック" w:hAnsi="BIZ UDゴシック" w:eastAsia="BIZ UDゴシック"/>
              </w:rPr>
              <w:t>方法</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地質調査の具体的な方法や合理的な提案がされているか。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配置計画の策定</w:t>
            </w:r>
          </w:p>
          <w:p>
            <w:pPr>
              <w:pStyle w:val="0"/>
              <w:jc w:val="both"/>
              <w:rPr>
                <w:rFonts w:hint="eastAsia" w:ascii="BIZ UDゴシック" w:hAnsi="BIZ UDゴシック" w:eastAsia="BIZ UDゴシック"/>
              </w:rPr>
            </w:pPr>
            <w:r>
              <w:rPr>
                <w:rFonts w:hint="eastAsia" w:ascii="BIZ UDゴシック" w:hAnsi="BIZ UDゴシック" w:eastAsia="BIZ UDゴシック"/>
              </w:rPr>
              <w:t>方法</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配置計画策定の具体的な方法や合理的な提案がされているか。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業務実績</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同種の業務実績を行っているか。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人員体制</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同種の業務実績を有する人員体制が提案されているか。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計画的な工程</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履行期間内に滞りなく実施できるスケジュールが提案されているか。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配点合計</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４５点</w:t>
            </w:r>
          </w:p>
        </w:tc>
        <w:tc>
          <w:tcPr>
            <w:tcW w:w="5843" w:type="dxa"/>
            <w:vAlign w:val="top"/>
          </w:tcPr>
          <w:p>
            <w:pPr>
              <w:pStyle w:val="0"/>
              <w:jc w:val="left"/>
              <w:rPr>
                <w:rFonts w:hint="eastAsia" w:ascii="BIZ UDゴシック" w:hAnsi="BIZ UDゴシック" w:eastAsia="BIZ UDゴシック"/>
              </w:rPr>
            </w:pP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４　業務遂行能力評価</w:t>
      </w:r>
    </w:p>
    <w:p>
      <w:pPr>
        <w:pStyle w:val="0"/>
        <w:jc w:val="left"/>
        <w:rPr>
          <w:rFonts w:hint="eastAsia" w:ascii="BIZ UDゴシック" w:hAnsi="BIZ UDゴシック" w:eastAsia="BIZ UDゴシック"/>
        </w:rPr>
      </w:pPr>
      <w:r>
        <w:rPr>
          <w:rFonts w:hint="eastAsia" w:ascii="BIZ UDゴシック" w:hAnsi="BIZ UDゴシック" w:eastAsia="BIZ UDゴシック"/>
        </w:rPr>
        <w:t>　提出された企画提案書等の内容について、プレゼンテーション及び質疑応答により、選定委員が評価を行う。</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評価項目及び配点は以下のとおりとする。５段階で評価することを基本とする。</w:t>
      </w:r>
    </w:p>
    <w:p>
      <w:pPr>
        <w:pStyle w:val="0"/>
        <w:ind w:firstLine="220" w:firstLineChars="100"/>
        <w:jc w:val="left"/>
        <w:rPr>
          <w:rFonts w:hint="eastAsia" w:ascii="BIZ UDゴシック" w:hAnsi="BIZ UDゴシック" w:eastAsia="BIZ UDゴシック"/>
        </w:rPr>
      </w:pPr>
    </w:p>
    <w:tbl>
      <w:tblPr>
        <w:tblStyle w:val="25"/>
        <w:tblW w:w="8820" w:type="dxa"/>
        <w:tblInd w:w="-5" w:type="dxa"/>
        <w:tblLayout w:type="fixed"/>
        <w:tblLook w:firstRow="1" w:lastRow="0" w:firstColumn="1" w:lastColumn="0" w:noHBand="0" w:noVBand="1" w:val="04A0"/>
      </w:tblPr>
      <w:tblGrid>
        <w:gridCol w:w="1985"/>
        <w:gridCol w:w="992"/>
        <w:gridCol w:w="5843"/>
      </w:tblGrid>
      <w:tr>
        <w:trPr/>
        <w:tc>
          <w:tcPr>
            <w:tcW w:w="1985" w:type="dxa"/>
            <w:shd w:val="clear" w:color="auto" w:themeFill="background2" w:themeFillTint="FF" w:themeFillShade="FF"/>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評価項目</w:t>
            </w:r>
          </w:p>
        </w:tc>
        <w:tc>
          <w:tcPr>
            <w:tcW w:w="992"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w:t>
            </w:r>
          </w:p>
        </w:tc>
        <w:tc>
          <w:tcPr>
            <w:tcW w:w="5843" w:type="dxa"/>
            <w:shd w:val="clear" w:color="auto" w:themeFill="background2" w:themeFillTint="FF" w:themeFillShade="FF"/>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評価基準</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活断層の知見</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活断層についての知見があるか。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地質調査の知見</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ボーリング調査や地盤調査について知見があるか。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廃棄物処理施設の知見</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配置計画において廃棄物処理施設について知見があるか。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地域状況の理解</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配置計画において、近隣の地域を理解しているか。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提案の実現可能性</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事業者の経験や知見を踏まえ、実現可能な提案がなされているか。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積極的な姿勢</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本業務に対する積極的な姿勢が感じられるか。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コミュニケーション</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簡潔で要点を</w:t>
            </w:r>
            <w:r>
              <w:rPr>
                <w:rFonts w:hint="eastAsia" w:ascii="BIZ UDゴシック" w:hAnsi="BIZ UDゴシック" w:eastAsia="BIZ UDゴシック"/>
                <w:color w:val="auto"/>
              </w:rPr>
              <w:t>押さえた</w:t>
            </w:r>
            <w:r>
              <w:rPr>
                <w:rFonts w:hint="eastAsia" w:ascii="BIZ UDゴシック" w:hAnsi="BIZ UDゴシック" w:eastAsia="BIZ UDゴシック"/>
              </w:rPr>
              <w:t>説明がなされているか。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内容の一貫性</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c>
          <w:tcPr>
            <w:tcW w:w="5843"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書類と説明の内容が一致しているか。</w:t>
            </w:r>
          </w:p>
        </w:tc>
      </w:tr>
      <w:tr>
        <w:trPr>
          <w:trHeight w:val="720" w:hRule="atLeast"/>
        </w:trPr>
        <w:tc>
          <w:tcPr>
            <w:tcW w:w="1985" w:type="dxa"/>
            <w:vAlign w:val="center"/>
          </w:tcPr>
          <w:p>
            <w:pPr>
              <w:pStyle w:val="0"/>
              <w:jc w:val="both"/>
              <w:rPr>
                <w:rFonts w:hint="eastAsia" w:ascii="BIZ UDゴシック" w:hAnsi="BIZ UDゴシック" w:eastAsia="BIZ UDゴシック"/>
              </w:rPr>
            </w:pPr>
            <w:r>
              <w:rPr>
                <w:rFonts w:hint="eastAsia" w:ascii="BIZ UDゴシック" w:hAnsi="BIZ UDゴシック" w:eastAsia="BIZ UDゴシック"/>
              </w:rPr>
              <w:t>配点合計</w:t>
            </w:r>
          </w:p>
        </w:tc>
        <w:tc>
          <w:tcPr>
            <w:tcW w:w="992" w:type="dxa"/>
            <w:vAlign w:val="center"/>
          </w:tcPr>
          <w:p>
            <w:pPr>
              <w:pStyle w:val="0"/>
              <w:jc w:val="center"/>
              <w:rPr>
                <w:rFonts w:hint="eastAsia" w:ascii="BIZ UDゴシック" w:hAnsi="BIZ UDゴシック" w:eastAsia="BIZ UDゴシック"/>
              </w:rPr>
            </w:pPr>
            <w:r>
              <w:rPr>
                <w:rFonts w:hint="eastAsia" w:ascii="BIZ UDゴシック" w:hAnsi="BIZ UDゴシック" w:eastAsia="BIZ UDゴシック"/>
              </w:rPr>
              <w:t>４５点</w:t>
            </w:r>
          </w:p>
        </w:tc>
        <w:tc>
          <w:tcPr>
            <w:tcW w:w="5843" w:type="dxa"/>
            <w:vAlign w:val="center"/>
          </w:tcPr>
          <w:p>
            <w:pPr>
              <w:pStyle w:val="0"/>
              <w:jc w:val="both"/>
              <w:rPr>
                <w:rFonts w:hint="eastAsia" w:ascii="BIZ UDゴシック" w:hAnsi="BIZ UDゴシック" w:eastAsia="BIZ UDゴシック"/>
              </w:rPr>
            </w:pP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５　見積金額評価</w:t>
      </w:r>
    </w:p>
    <w:p>
      <w:pPr>
        <w:pStyle w:val="0"/>
        <w:jc w:val="left"/>
        <w:rPr>
          <w:rFonts w:hint="eastAsia" w:ascii="BIZ UDゴシック" w:hAnsi="BIZ UDゴシック" w:eastAsia="BIZ UDゴシック"/>
        </w:rPr>
      </w:pPr>
      <w:r>
        <w:rPr>
          <w:rFonts w:hint="eastAsia" w:ascii="BIZ UDゴシック" w:hAnsi="BIZ UDゴシック" w:eastAsia="BIZ UDゴシック"/>
        </w:rPr>
        <w:t>　提出された見積書より、最低価格の順に下記のとおりとする。</w:t>
      </w:r>
    </w:p>
    <w:tbl>
      <w:tblPr>
        <w:tblStyle w:val="25"/>
        <w:tblpPr w:leftFromText="0" w:rightFromText="0" w:topFromText="0" w:bottomFromText="0" w:vertAnchor="text" w:horzAnchor="margin" w:tblpX="1256" w:tblpY="345"/>
        <w:tblOverlap w:val="never"/>
        <w:tblW w:w="6480" w:type="dxa"/>
        <w:tblLayout w:type="fixed"/>
        <w:tblLook w:firstRow="1" w:lastRow="0" w:firstColumn="1" w:lastColumn="0" w:noHBand="0" w:noVBand="1" w:val="04A0"/>
      </w:tblPr>
      <w:tblGrid>
        <w:gridCol w:w="3240"/>
        <w:gridCol w:w="3240"/>
      </w:tblGrid>
      <w:tr>
        <w:trPr>
          <w:trHeight w:val="315" w:hRule="atLeast"/>
        </w:trPr>
        <w:tc>
          <w:tcPr>
            <w:tcW w:w="3240"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順位</w:t>
            </w:r>
          </w:p>
        </w:tc>
        <w:tc>
          <w:tcPr>
            <w:tcW w:w="3240"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w:t>
            </w:r>
          </w:p>
        </w:tc>
      </w:tr>
      <w:tr>
        <w:trPr>
          <w:trHeight w:val="316" w:hRule="atLeast"/>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１位</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r>
      <w:tr>
        <w:trPr>
          <w:trHeight w:val="315" w:hRule="atLeast"/>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２位</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８点</w:t>
            </w:r>
          </w:p>
        </w:tc>
      </w:tr>
      <w:tr>
        <w:trPr>
          <w:trHeight w:val="316" w:hRule="atLeast"/>
        </w:trPr>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３位</w:t>
            </w:r>
          </w:p>
        </w:tc>
        <w:tc>
          <w:tcPr>
            <w:tcW w:w="324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６点</w:t>
            </w:r>
          </w:p>
        </w:tc>
      </w:tr>
    </w:tbl>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６　点数の計算方法等</w:t>
      </w:r>
    </w:p>
    <w:p>
      <w:pPr>
        <w:pStyle w:val="0"/>
        <w:jc w:val="left"/>
        <w:rPr>
          <w:rFonts w:hint="eastAsia" w:ascii="BIZ UDゴシック" w:hAnsi="BIZ UDゴシック" w:eastAsia="BIZ UDゴシック"/>
        </w:rPr>
      </w:pPr>
      <w:r>
        <w:rPr>
          <w:rFonts w:hint="eastAsia" w:ascii="BIZ UDゴシック" w:hAnsi="BIZ UDゴシック" w:eastAsia="BIZ UDゴシック"/>
        </w:rPr>
        <w:t>　点数については、以下の方法により算出する。</w:t>
      </w: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w:t>
      </w:r>
      <w:r>
        <w:rPr>
          <w:rFonts w:hint="eastAsia" w:ascii="BIZ UDゴシック" w:hAnsi="BIZ UDゴシック" w:eastAsia="BIZ UDゴシック"/>
        </w:rPr>
        <w:t>１</w:t>
      </w:r>
      <w:r>
        <w:rPr>
          <w:rFonts w:hint="eastAsia" w:ascii="BIZ UDゴシック" w:hAnsi="BIZ UDゴシック" w:eastAsia="BIZ UDゴシック"/>
        </w:rPr>
        <w:t>)</w:t>
      </w:r>
      <w:r>
        <w:rPr>
          <w:rFonts w:hint="eastAsia" w:ascii="BIZ UDゴシック" w:hAnsi="BIZ UDゴシック" w:eastAsia="BIZ UDゴシック"/>
        </w:rPr>
        <w:t>業務企画能力評価及び業務遂行能力評価</w:t>
      </w:r>
    </w:p>
    <w:p>
      <w:pPr>
        <w:pStyle w:val="0"/>
        <w:ind w:firstLine="220" w:firstLineChars="100"/>
        <w:jc w:val="left"/>
        <w:rPr>
          <w:rFonts w:hint="eastAsia" w:ascii="BIZ UDゴシック" w:hAnsi="BIZ UDゴシック" w:eastAsia="BIZ UDゴシック"/>
        </w:rPr>
      </w:pPr>
      <w:r>
        <w:rPr>
          <w:rFonts w:hint="eastAsia" w:ascii="BIZ UDゴシック" w:hAnsi="BIZ UDゴシック" w:eastAsia="BIZ UDゴシック"/>
        </w:rPr>
        <w:t>　評価項目ごとに５段階で以下のとおり点数を付与する。</w:t>
      </w:r>
    </w:p>
    <w:p>
      <w:pPr>
        <w:pStyle w:val="0"/>
        <w:ind w:firstLine="220" w:firstLineChars="100"/>
        <w:jc w:val="left"/>
        <w:rPr>
          <w:rFonts w:hint="eastAsia" w:ascii="BIZ UDゴシック" w:hAnsi="BIZ UDゴシック" w:eastAsia="BIZ UDゴシック"/>
        </w:rPr>
      </w:pPr>
    </w:p>
    <w:tbl>
      <w:tblPr>
        <w:tblStyle w:val="25"/>
        <w:tblW w:w="7822" w:type="dxa"/>
        <w:jc w:val="center"/>
        <w:tblInd w:w="0" w:type="dxa"/>
        <w:tblLayout w:type="fixed"/>
        <w:tblLook w:firstRow="1" w:lastRow="0" w:firstColumn="1" w:lastColumn="0" w:noHBand="0" w:noVBand="1" w:val="04A0"/>
      </w:tblPr>
      <w:tblGrid>
        <w:gridCol w:w="2161"/>
        <w:gridCol w:w="2830"/>
        <w:gridCol w:w="2831"/>
      </w:tblGrid>
      <w:tr>
        <w:trPr/>
        <w:tc>
          <w:tcPr>
            <w:tcW w:w="2161" w:type="dxa"/>
            <w:shd w:val="clear" w:color="auto" w:themeFill="background2" w:themeFillTint="FF" w:themeFillShade="FF"/>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指標</w:t>
            </w:r>
          </w:p>
        </w:tc>
        <w:tc>
          <w:tcPr>
            <w:tcW w:w="2830"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配点が１０点の評価項目</w:t>
            </w:r>
          </w:p>
        </w:tc>
        <w:tc>
          <w:tcPr>
            <w:tcW w:w="2831" w:type="dxa"/>
            <w:shd w:val="clear" w:color="auto" w:themeFill="background2" w:themeFillTint="FF" w:themeFillShade="FF"/>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配点が５点の評価項目</w:t>
            </w:r>
          </w:p>
        </w:tc>
      </w:tr>
      <w:tr>
        <w:trPr/>
        <w:tc>
          <w:tcPr>
            <w:tcW w:w="2161"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特に優れている。</w:t>
            </w:r>
          </w:p>
        </w:tc>
        <w:tc>
          <w:tcPr>
            <w:tcW w:w="28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１０点</w:t>
            </w:r>
          </w:p>
        </w:tc>
        <w:tc>
          <w:tcPr>
            <w:tcW w:w="2831"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５点</w:t>
            </w:r>
          </w:p>
        </w:tc>
      </w:tr>
      <w:tr>
        <w:trPr/>
        <w:tc>
          <w:tcPr>
            <w:tcW w:w="2161"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やや優れている。</w:t>
            </w:r>
          </w:p>
        </w:tc>
        <w:tc>
          <w:tcPr>
            <w:tcW w:w="28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８点</w:t>
            </w:r>
          </w:p>
        </w:tc>
        <w:tc>
          <w:tcPr>
            <w:tcW w:w="2831"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４点</w:t>
            </w:r>
          </w:p>
        </w:tc>
      </w:tr>
      <w:tr>
        <w:trPr/>
        <w:tc>
          <w:tcPr>
            <w:tcW w:w="2161"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標準的である。</w:t>
            </w:r>
          </w:p>
        </w:tc>
        <w:tc>
          <w:tcPr>
            <w:tcW w:w="28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６点</w:t>
            </w:r>
          </w:p>
        </w:tc>
        <w:tc>
          <w:tcPr>
            <w:tcW w:w="2831"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３点</w:t>
            </w:r>
          </w:p>
        </w:tc>
      </w:tr>
      <w:tr>
        <w:trPr/>
        <w:tc>
          <w:tcPr>
            <w:tcW w:w="2161"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やや物足りない。</w:t>
            </w:r>
          </w:p>
        </w:tc>
        <w:tc>
          <w:tcPr>
            <w:tcW w:w="28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４点</w:t>
            </w:r>
          </w:p>
        </w:tc>
        <w:tc>
          <w:tcPr>
            <w:tcW w:w="2831"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２点</w:t>
            </w:r>
          </w:p>
        </w:tc>
      </w:tr>
      <w:tr>
        <w:trPr/>
        <w:tc>
          <w:tcPr>
            <w:tcW w:w="2161" w:type="dxa"/>
            <w:vAlign w:val="top"/>
          </w:tcPr>
          <w:p>
            <w:pPr>
              <w:pStyle w:val="0"/>
              <w:jc w:val="left"/>
              <w:rPr>
                <w:rFonts w:hint="eastAsia" w:ascii="BIZ UDゴシック" w:hAnsi="BIZ UDゴシック" w:eastAsia="BIZ UDゴシック"/>
              </w:rPr>
            </w:pPr>
            <w:r>
              <w:rPr>
                <w:rFonts w:hint="eastAsia" w:ascii="BIZ UDゴシック" w:hAnsi="BIZ UDゴシック" w:eastAsia="BIZ UDゴシック"/>
              </w:rPr>
              <w:t>物足りない。</w:t>
            </w:r>
          </w:p>
        </w:tc>
        <w:tc>
          <w:tcPr>
            <w:tcW w:w="2830"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２点</w:t>
            </w:r>
          </w:p>
        </w:tc>
        <w:tc>
          <w:tcPr>
            <w:tcW w:w="2831" w:type="dxa"/>
            <w:vAlign w:val="top"/>
          </w:tcPr>
          <w:p>
            <w:pPr>
              <w:pStyle w:val="0"/>
              <w:jc w:val="center"/>
              <w:rPr>
                <w:rFonts w:hint="eastAsia" w:ascii="BIZ UDゴシック" w:hAnsi="BIZ UDゴシック" w:eastAsia="BIZ UDゴシック"/>
              </w:rPr>
            </w:pPr>
            <w:r>
              <w:rPr>
                <w:rFonts w:hint="eastAsia" w:ascii="BIZ UDゴシック" w:hAnsi="BIZ UDゴシック" w:eastAsia="BIZ UDゴシック"/>
              </w:rPr>
              <w:t>１点</w:t>
            </w:r>
          </w:p>
        </w:tc>
      </w:tr>
    </w:tbl>
    <w:p>
      <w:pPr>
        <w:pStyle w:val="0"/>
        <w:jc w:val="left"/>
        <w:rPr>
          <w:rFonts w:hint="eastAsia" w:ascii="BIZ UDゴシック" w:hAnsi="BIZ UDゴシック" w:eastAsia="BIZ UDゴシック"/>
        </w:rPr>
      </w:pPr>
    </w:p>
    <w:p>
      <w:pPr>
        <w:pStyle w:val="0"/>
        <w:ind w:left="220" w:leftChars="100" w:firstLine="220" w:firstLineChars="100"/>
        <w:jc w:val="left"/>
        <w:rPr>
          <w:rFonts w:hint="eastAsia" w:ascii="BIZ UDゴシック" w:hAnsi="BIZ UDゴシック" w:eastAsia="BIZ UDゴシック"/>
        </w:rPr>
      </w:pPr>
      <w:r>
        <w:rPr>
          <w:rFonts w:hint="eastAsia" w:ascii="BIZ UDゴシック" w:hAnsi="BIZ UDゴシック" w:eastAsia="BIZ UDゴシック"/>
        </w:rPr>
        <w:t>選定委員会は６名で構成される。委員はそれぞれ独自に評価を行い、点数を付与する。業務企画能力評価及び業務遂行能力評価において各委員の点数を合計し、６で除した点数をその参加者の点数とする。点数に小数点以下の端数が生じた場合は、小数点第二位を四捨五入し、小数第一位までを点数とする。</w:t>
      </w:r>
    </w:p>
    <w:p>
      <w:pPr>
        <w:pStyle w:val="0"/>
        <w:jc w:val="left"/>
        <w:rPr>
          <w:rFonts w:hint="eastAsia" w:ascii="BIZ UDゴシック" w:hAnsi="BIZ UDゴシック" w:eastAsia="BIZ UDゴシック"/>
        </w:rPr>
      </w:pPr>
    </w:p>
    <w:p>
      <w:pPr>
        <w:pStyle w:val="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w:t>
      </w:r>
      <w:r>
        <w:rPr>
          <w:rFonts w:hint="eastAsia" w:ascii="BIZ UDゴシック" w:hAnsi="BIZ UDゴシック" w:eastAsia="BIZ UDゴシック"/>
        </w:rPr>
        <w:t>２</w:t>
      </w:r>
      <w:r>
        <w:rPr>
          <w:rFonts w:hint="eastAsia" w:ascii="BIZ UDゴシック" w:hAnsi="BIZ UDゴシック" w:eastAsia="BIZ UDゴシック"/>
        </w:rPr>
        <w:t>)</w:t>
      </w:r>
      <w:r>
        <w:rPr>
          <w:rFonts w:hint="eastAsia" w:ascii="BIZ UDゴシック" w:hAnsi="BIZ UDゴシック" w:eastAsia="BIZ UDゴシック"/>
        </w:rPr>
        <w:t>契約候補者等の決定</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契約候補者等を決定する際の点数は、業務企画能力評価、業務遂行能力評価、見積金額評価の各点数を合計した点数で比較を行う。</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選定委員による審議を経て、合計点数が最も高い者を契約候補者、次に高い者を次点者とする。２者以上が同点となった場合は、業務企画能力評価（事業内容の理解、地質調査の実施方法及び配置計画の策定）の合計点数が高い者とする。</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業務企画能力評価の合計点数でも同点となった</w:t>
      </w:r>
      <w:bookmarkStart w:id="0" w:name="_GoBack"/>
      <w:bookmarkEnd w:id="0"/>
      <w:r>
        <w:rPr>
          <w:rFonts w:hint="eastAsia" w:ascii="BIZ UDゴシック" w:hAnsi="BIZ UDゴシック" w:eastAsia="BIZ UDゴシック"/>
        </w:rPr>
        <w:t>場合は、くじ引きにより順位を決定する。</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w:t>
      </w:r>
      <w:r>
        <w:rPr>
          <w:rFonts w:hint="eastAsia" w:ascii="BIZ UDゴシック" w:hAnsi="BIZ UDゴシック" w:eastAsia="BIZ UDゴシック"/>
        </w:rPr>
        <w:t>(</w:t>
      </w:r>
      <w:r>
        <w:rPr>
          <w:rFonts w:hint="eastAsia" w:ascii="BIZ UDゴシック" w:hAnsi="BIZ UDゴシック" w:eastAsia="BIZ UDゴシック"/>
        </w:rPr>
        <w:t>３</w:t>
      </w:r>
      <w:r>
        <w:rPr>
          <w:rFonts w:hint="eastAsia" w:ascii="BIZ UDゴシック" w:hAnsi="BIZ UDゴシック" w:eastAsia="BIZ UDゴシック"/>
        </w:rPr>
        <w:t>)</w:t>
      </w:r>
      <w:r>
        <w:rPr>
          <w:rFonts w:hint="eastAsia" w:ascii="BIZ UDゴシック" w:hAnsi="BIZ UDゴシック" w:eastAsia="BIZ UDゴシック"/>
        </w:rPr>
        <w:t>最低基準点の設定及び参加者が１者の場合の取扱い</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合計点数が６割未満となった場合は、契約候補者及び次点者となることはできない。</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また、参加者が１者であった場合は、通常</w:t>
      </w:r>
      <w:r>
        <w:rPr>
          <w:rFonts w:hint="eastAsia" w:ascii="BIZ UDゴシック" w:hAnsi="BIZ UDゴシック" w:eastAsia="BIZ UDゴシック"/>
          <w:color w:val="auto"/>
        </w:rPr>
        <w:t>どおり</w:t>
      </w:r>
      <w:r>
        <w:rPr>
          <w:rFonts w:hint="eastAsia" w:ascii="BIZ UDゴシック" w:hAnsi="BIZ UDゴシック" w:eastAsia="BIZ UDゴシック"/>
        </w:rPr>
        <w:t>評価を行い、合計点数が６割未満と採点された場合を除き、契約候補者とすることができる。</w:t>
      </w:r>
    </w:p>
    <w:p>
      <w:pPr>
        <w:pStyle w:val="0"/>
        <w:ind w:left="220" w:hanging="220" w:hangingChars="100"/>
        <w:jc w:val="left"/>
        <w:rPr>
          <w:rFonts w:hint="eastAsia" w:ascii="BIZ UDゴシック" w:hAnsi="BIZ UDゴシック" w:eastAsia="BIZ UDゴシック"/>
        </w:rPr>
      </w:pP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７　評価結果の公表</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評価は、個人情報や営業秘密を含む情報を取り扱うため、すべて非公開で行う。</w:t>
      </w:r>
    </w:p>
    <w:p>
      <w:pPr>
        <w:pStyle w:val="0"/>
        <w:ind w:left="220" w:hanging="220" w:hangingChars="100"/>
        <w:jc w:val="left"/>
        <w:rPr>
          <w:rFonts w:hint="eastAsia" w:ascii="BIZ UDゴシック" w:hAnsi="BIZ UDゴシック" w:eastAsia="BIZ UDゴシック"/>
        </w:rPr>
      </w:pPr>
      <w:r>
        <w:rPr>
          <w:rFonts w:hint="eastAsia" w:ascii="BIZ UDゴシック" w:hAnsi="BIZ UDゴシック" w:eastAsia="BIZ UDゴシック"/>
        </w:rPr>
        <w:t>　　評価の結果については、評価結果表を作成し、いなべ市ホームページ及び菰野町ホームページにおいて公表する。評価結果表には、契約候補者の事業者名及び全ての参加者の得点の合計点数を掲載する。</w:t>
      </w:r>
    </w:p>
    <w:sectPr>
      <w:pgSz w:w="11906" w:h="16838"/>
      <w:pgMar w:top="1701" w:right="1701" w:bottom="158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BIZ UDP新ゴ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BIZ UDP新ゴ Light" w:hAnsi="BIZ UDP新ゴ Light" w:eastAsia="BIZ UDP新ゴ Light"/>
        <w:kern w:val="2"/>
        <w:sz w:val="2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laceholder Text"/>
    <w:basedOn w:val="10"/>
    <w:next w:val="15"/>
    <w:link w:val="0"/>
    <w:uiPriority w:val="0"/>
    <w:rPr>
      <w:color w:val="808080"/>
    </w:rPr>
  </w:style>
  <w:style w:type="paragraph" w:styleId="16">
    <w:name w:val="List Paragraph"/>
    <w:basedOn w:val="0"/>
    <w:next w:val="16"/>
    <w:link w:val="0"/>
    <w:uiPriority w:val="0"/>
    <w:qFormat/>
    <w:pPr>
      <w:ind w:left="840" w:leftChars="400"/>
    </w:p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752</TotalTime>
  <Pages>4</Pages>
  <Words>0</Words>
  <Characters>1751</Characters>
  <Application>JUST Note</Application>
  <Lines>184</Lines>
  <Paragraphs>122</Paragraphs>
  <Company>いなべ市</Company>
  <CharactersWithSpaces>1782</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林 龍弥</dc:creator>
  <cp:lastModifiedBy>林 龍弥</cp:lastModifiedBy>
  <cp:lastPrinted>2026-04-24T07:13:05Z</cp:lastPrinted>
  <dcterms:created xsi:type="dcterms:W3CDTF">2023-05-31T03:14:00Z</dcterms:created>
  <dcterms:modified xsi:type="dcterms:W3CDTF">2026-04-30T03:57:17Z</dcterms:modified>
  <cp:revision>17</cp:revision>
</cp:coreProperties>
</file>