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ゴシック" w:hAnsi="ＭＳ ゴシック" w:eastAsia="ＭＳ ゴシック"/>
        </w:rPr>
      </w:pPr>
      <w:r>
        <w:rPr>
          <w:rFonts w:hint="eastAsia"/>
        </w:rPr>
        <mc:AlternateContent>
          <mc:Choice Requires="wps">
            <w:drawing>
              <wp:anchor distT="0" distB="0" distL="71755" distR="71755" simplePos="0" relativeHeight="2" behindDoc="0" locked="1" layoutInCell="1" hidden="0" allowOverlap="1">
                <wp:simplePos x="0" y="0"/>
                <wp:positionH relativeFrom="column">
                  <wp:posOffset>2801620</wp:posOffset>
                </wp:positionH>
                <wp:positionV relativeFrom="paragraph">
                  <wp:posOffset>-621665</wp:posOffset>
                </wp:positionV>
                <wp:extent cx="990600" cy="466725"/>
                <wp:effectExtent l="0" t="0" r="635" b="635"/>
                <wp:wrapNone/>
                <wp:docPr id="1026" name="オブジェクト 0"/>
                <a:graphic xmlns:a="http://schemas.openxmlformats.org/drawingml/2006/main">
                  <a:graphicData uri="http://schemas.microsoft.com/office/word/2010/wordprocessingShape">
                    <wps:wsp>
                      <wps:cNvPr id="1026" name="オブジェクト 0"/>
                      <wps:cNvSpPr/>
                      <wps:spPr>
                        <a:xfrm>
                          <a:off x="0" y="0"/>
                          <a:ext cx="990600" cy="466725"/>
                        </a:xfrm>
                        <a:prstGeom prst="wedgeRectCallout">
                          <a:avLst>
                            <a:gd name="adj1" fmla="val -20316"/>
                            <a:gd name="adj2" fmla="val 47930"/>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color w:val="000000" w:themeColor="text1"/>
                                <w:sz w:val="32"/>
                              </w:rPr>
                              <w:t>（案）</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position-vertical-relative:text;z-index:2;mso-wrap-distance-left:5.65pt;width:78pt;height:36.75pt;mso-position-horizontal-relative:text;position:absolute;margin-left:220.6pt;margin-top:-48.95pt;mso-wrap-distance-bottom:0pt;mso-wrap-distance-right:5.65pt;mso-wrap-distance-top:0pt;v-text-anchor:middle;" o:spid="_x0000_s1026" o:allowincell="t" o:allowoverlap="t" filled="f" stroked="f" strokecolor="#32528f" strokeweight="1pt" o:spt="61" type="#_x0000_t61" adj="6412,21153">
                <v:fill/>
                <v:stroke linestyle="single" miterlimit="8" endcap="flat" dashstyle="solid"/>
                <v:textbox style="layout-flow:horizontal;">
                  <w:txbxContent>
                    <w:p>
                      <w:pPr>
                        <w:pStyle w:val="0"/>
                        <w:jc w:val="center"/>
                        <w:rPr>
                          <w:rFonts w:hint="eastAsia"/>
                        </w:rPr>
                      </w:pPr>
                      <w:r>
                        <w:rPr>
                          <w:rFonts w:hint="eastAsia"/>
                          <w:color w:val="000000" w:themeColor="text1"/>
                          <w:sz w:val="32"/>
                        </w:rPr>
                        <w:t>（案）</w:t>
                      </w:r>
                    </w:p>
                  </w:txbxContent>
                </v:textbox>
                <v:imagedata o:title=""/>
                <w10:wrap type="none" anchorx="text" anchory="text"/>
                <w10:anchorlock/>
              </v:shape>
            </w:pict>
          </mc:Fallback>
        </mc:AlternateContent>
      </w:r>
      <w:r>
        <w:rPr>
          <w:rFonts w:hint="eastAsia" w:ascii="ＭＳ ゴシック" w:hAnsi="ＭＳ ゴシック" w:eastAsia="ＭＳ ゴシック"/>
        </w:rPr>
        <w:t>第２次いなべ市空家等対策計画【パブリックコメント案】に対する意見と市役所からの回答</w:t>
      </w:r>
    </w:p>
    <w:tbl>
      <w:tblPr>
        <w:tblStyle w:val="41"/>
        <w:tblW w:w="10060" w:type="dxa"/>
        <w:tblInd w:w="0" w:type="dxa"/>
        <w:tblLayout w:type="fixed"/>
        <w:tblLook w:firstRow="1" w:lastRow="0" w:firstColumn="1" w:lastColumn="0" w:noHBand="0" w:noVBand="1" w:val="04A0"/>
      </w:tblPr>
      <w:tblGrid>
        <w:gridCol w:w="426"/>
        <w:gridCol w:w="4958"/>
        <w:gridCol w:w="4676"/>
      </w:tblGrid>
      <w:tr>
        <w:trPr>
          <w:tblHeader/>
        </w:trPr>
        <w:tc>
          <w:tcPr>
            <w:tcW w:w="426"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NO</w:t>
            </w:r>
          </w:p>
        </w:tc>
        <w:tc>
          <w:tcPr>
            <w:tcW w:w="4958" w:type="dxa"/>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ご意見の内容</w:t>
            </w:r>
          </w:p>
        </w:tc>
        <w:tc>
          <w:tcPr>
            <w:tcW w:w="4676" w:type="dxa"/>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市の考え方</w:t>
            </w:r>
          </w:p>
        </w:tc>
      </w:tr>
      <w:tr>
        <w:trPr/>
        <w:tc>
          <w:tcPr>
            <w:tcW w:w="426" w:type="dxa"/>
            <w:vAlign w:val="top"/>
          </w:tcPr>
          <w:p>
            <w:pPr>
              <w:pStyle w:val="0"/>
              <w:spacing w:line="280" w:lineRule="exact"/>
              <w:rPr>
                <w:rFonts w:hint="default" w:ascii="ＭＳ 明朝" w:hAnsi="ＭＳ 明朝" w:eastAsia="ＭＳ 明朝"/>
                <w:sz w:val="20"/>
              </w:rPr>
            </w:pPr>
            <w:r>
              <w:rPr>
                <w:rFonts w:hint="eastAsia" w:ascii="ＭＳ 明朝" w:hAnsi="ＭＳ 明朝" w:eastAsia="ＭＳ 明朝"/>
                <w:sz w:val="20"/>
              </w:rPr>
              <w:t>1</w:t>
            </w:r>
          </w:p>
        </w:tc>
        <w:tc>
          <w:tcPr>
            <w:tcW w:w="4958" w:type="dxa"/>
            <w:vAlign w:val="top"/>
          </w:tcPr>
          <w:p>
            <w:pPr>
              <w:pStyle w:val="0"/>
              <w:spacing w:line="280" w:lineRule="exact"/>
              <w:jc w:val="both"/>
              <w:rPr>
                <w:rFonts w:hint="default" w:ascii="ＭＳ ゴシック" w:hAnsi="ＭＳ ゴシック" w:eastAsia="ＭＳ ゴシック"/>
                <w:sz w:val="20"/>
                <w:shd w:val="clear" w:color="auto" w:fill="FFFFFF"/>
              </w:rPr>
            </w:pPr>
            <w:r>
              <w:rPr>
                <w:rFonts w:hint="default" w:ascii="ＭＳ ゴシック" w:hAnsi="ＭＳ ゴシック" w:eastAsia="ＭＳ ゴシック"/>
                <w:sz w:val="20"/>
                <w:shd w:val="clear" w:color="auto" w:fill="FFFFFF"/>
              </w:rPr>
              <w:t>定量的な成果指標（</w:t>
            </w:r>
            <w:r>
              <w:rPr>
                <w:rFonts w:hint="default" w:ascii="ＭＳ ゴシック" w:hAnsi="ＭＳ ゴシック" w:eastAsia="ＭＳ ゴシック"/>
                <w:sz w:val="20"/>
                <w:shd w:val="clear" w:color="auto" w:fill="FFFFFF"/>
              </w:rPr>
              <w:t>KPI</w:t>
            </w:r>
            <w:r>
              <w:rPr>
                <w:rFonts w:hint="default" w:ascii="ＭＳ ゴシック" w:hAnsi="ＭＳ ゴシック" w:eastAsia="ＭＳ ゴシック"/>
                <w:sz w:val="20"/>
                <w:shd w:val="clear" w:color="auto" w:fill="FFFFFF"/>
              </w:rPr>
              <w:t>）の明記について</w:t>
            </w:r>
          </w:p>
          <w:p>
            <w:pPr>
              <w:pStyle w:val="0"/>
              <w:spacing w:line="280" w:lineRule="exact"/>
              <w:jc w:val="both"/>
              <w:rPr>
                <w:rFonts w:hint="default" w:ascii="ＭＳ ゴシック" w:hAnsi="ＭＳ ゴシック" w:eastAsia="ＭＳ ゴシック"/>
                <w:sz w:val="20"/>
                <w:shd w:val="clear" w:color="auto" w:fill="FFFFFF"/>
              </w:rPr>
            </w:pPr>
            <w:r>
              <w:rPr>
                <w:rFonts w:hint="default" w:ascii="ＭＳ ゴシック" w:hAnsi="ＭＳ ゴシック" w:eastAsia="ＭＳ ゴシック"/>
                <w:sz w:val="20"/>
                <w:shd w:val="clear" w:color="auto" w:fill="FFFFFF"/>
              </w:rPr>
              <w:t>（該当箇所：計画全般、および「６</w:t>
            </w:r>
            <w:r>
              <w:rPr>
                <w:rFonts w:hint="default" w:ascii="ＭＳ ゴシック" w:hAnsi="ＭＳ ゴシック" w:eastAsia="ＭＳ ゴシック"/>
                <w:sz w:val="20"/>
                <w:shd w:val="clear" w:color="auto" w:fill="FFFFFF"/>
              </w:rPr>
              <w:t xml:space="preserve"> </w:t>
            </w:r>
            <w:r>
              <w:rPr>
                <w:rFonts w:hint="default" w:ascii="ＭＳ ゴシック" w:hAnsi="ＭＳ ゴシック" w:eastAsia="ＭＳ ゴシック"/>
                <w:sz w:val="20"/>
                <w:shd w:val="clear" w:color="auto" w:fill="FFFFFF"/>
              </w:rPr>
              <w:t>空家等に関する相談や対策の実施体制に関する事項」）</w:t>
            </w:r>
          </w:p>
          <w:p>
            <w:pPr>
              <w:pStyle w:val="0"/>
              <w:spacing w:line="280" w:lineRule="exact"/>
              <w:jc w:val="both"/>
              <w:rPr>
                <w:rFonts w:hint="default" w:ascii="ＭＳ ゴシック" w:hAnsi="ＭＳ ゴシック" w:eastAsia="ＭＳ ゴシック"/>
                <w:sz w:val="20"/>
                <w:shd w:val="clear" w:color="auto" w:fill="FFFFFF"/>
              </w:rPr>
            </w:pPr>
            <w:r>
              <w:rPr>
                <w:rFonts w:hint="default" w:ascii="ＭＳ ゴシック" w:hAnsi="ＭＳ ゴシック" w:eastAsia="ＭＳ ゴシック"/>
                <w:sz w:val="20"/>
                <w:shd w:val="clear" w:color="auto" w:fill="FFFFFF"/>
              </w:rPr>
              <w:t>計画案では「対策の充実を図る」等の定性的な表現が多く見受けられますが、</w:t>
            </w:r>
            <w:r>
              <w:rPr>
                <w:rFonts w:hint="default" w:ascii="ＭＳ ゴシック" w:hAnsi="ＭＳ ゴシック" w:eastAsia="ＭＳ ゴシック"/>
                <w:sz w:val="20"/>
                <w:shd w:val="clear" w:color="auto" w:fill="FFFFFF"/>
              </w:rPr>
              <w:t>PDCA</w:t>
            </w:r>
            <w:r>
              <w:rPr>
                <w:rFonts w:hint="default" w:ascii="ＭＳ ゴシック" w:hAnsi="ＭＳ ゴシック" w:eastAsia="ＭＳ ゴシック"/>
                <w:sz w:val="20"/>
                <w:shd w:val="clear" w:color="auto" w:fill="FFFFFF"/>
              </w:rPr>
              <w:t>サイクルを機能させるためには、測定可能な目標値が不可欠です。</w:t>
            </w:r>
          </w:p>
          <w:p>
            <w:pPr>
              <w:pStyle w:val="0"/>
              <w:spacing w:line="280" w:lineRule="exact"/>
              <w:jc w:val="both"/>
              <w:rPr>
                <w:rFonts w:hint="default" w:ascii="ＭＳ ゴシック" w:hAnsi="ＭＳ ゴシック" w:eastAsia="ＭＳ ゴシック"/>
                <w:sz w:val="20"/>
                <w:shd w:val="clear" w:color="auto" w:fill="FFFFFF"/>
              </w:rPr>
            </w:pPr>
            <w:r>
              <w:rPr>
                <w:rFonts w:hint="default" w:ascii="ＭＳ ゴシック" w:hAnsi="ＭＳ ゴシック" w:eastAsia="ＭＳ ゴシック"/>
                <w:sz w:val="20"/>
                <w:shd w:val="clear" w:color="auto" w:fill="FFFFFF"/>
              </w:rPr>
              <w:t>本計画期間終了時における「特定空家等の解消件数」「空き家バンクの成約件数」「管理不全空家から健全な状態への改善数」などの数値目標（</w:t>
            </w:r>
            <w:r>
              <w:rPr>
                <w:rFonts w:hint="default" w:ascii="ＭＳ ゴシック" w:hAnsi="ＭＳ ゴシック" w:eastAsia="ＭＳ ゴシック"/>
                <w:sz w:val="20"/>
                <w:shd w:val="clear" w:color="auto" w:fill="FFFFFF"/>
              </w:rPr>
              <w:t>KPI</w:t>
            </w:r>
            <w:r>
              <w:rPr>
                <w:rFonts w:hint="default" w:ascii="ＭＳ ゴシック" w:hAnsi="ＭＳ ゴシック" w:eastAsia="ＭＳ ゴシック"/>
                <w:sz w:val="20"/>
                <w:shd w:val="clear" w:color="auto" w:fill="FFFFFF"/>
              </w:rPr>
              <w:t>）を具体的に設定・明記することを求めます。</w:t>
            </w:r>
          </w:p>
          <w:p>
            <w:pPr>
              <w:pStyle w:val="0"/>
              <w:spacing w:line="280" w:lineRule="exact"/>
              <w:rPr>
                <w:rFonts w:hint="default" w:ascii="ＭＳ ゴシック" w:hAnsi="ＭＳ ゴシック" w:eastAsia="ＭＳ ゴシック"/>
                <w:sz w:val="20"/>
              </w:rPr>
            </w:pPr>
          </w:p>
        </w:tc>
        <w:tc>
          <w:tcPr>
            <w:tcW w:w="4676" w:type="dxa"/>
            <w:vAlign w:val="top"/>
          </w:tcPr>
          <w:p>
            <w:pPr>
              <w:pStyle w:val="0"/>
              <w:spacing w:line="280" w:lineRule="exact"/>
              <w:ind w:left="84" w:leftChars="40"/>
              <w:jc w:val="both"/>
              <w:rPr>
                <w:rFonts w:hint="eastAsia" w:ascii="ＭＳ ゴシック" w:hAnsi="ＭＳ ゴシック" w:eastAsia="ＭＳ ゴシック"/>
                <w:sz w:val="20"/>
              </w:rPr>
            </w:pPr>
            <w:r>
              <w:rPr>
                <w:rFonts w:hint="eastAsia" w:ascii="ＭＳ ゴシック" w:hAnsi="ＭＳ ゴシック" w:eastAsia="ＭＳ ゴシック"/>
                <w:sz w:val="20"/>
              </w:rPr>
              <w:t>空家等所有者が置かれている背景はさまざまであり、空家等の適正管理や除却については所有者個人の責務となっております。このため、解決には時間を要する場合も多く、施策の実施が顕著に成果として現れることも困難と判断し、本計画では、数値成果指標は設定しないこととしました。今後は、「４</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空家等対策に関する上位・関連計画」に明記している除却工事戸数及び空き家相談件数の指標を目標値とし、進めていきます。</w:t>
            </w:r>
          </w:p>
        </w:tc>
      </w:tr>
      <w:tr>
        <w:trPr/>
        <w:tc>
          <w:tcPr>
            <w:tcW w:w="426" w:type="dxa"/>
            <w:vAlign w:val="top"/>
          </w:tcPr>
          <w:p>
            <w:pPr>
              <w:pStyle w:val="0"/>
              <w:spacing w:line="280" w:lineRule="exact"/>
              <w:rPr>
                <w:rFonts w:hint="default" w:ascii="ＭＳ 明朝" w:hAnsi="ＭＳ 明朝" w:eastAsia="ＭＳ 明朝"/>
                <w:sz w:val="20"/>
              </w:rPr>
            </w:pPr>
            <w:r>
              <w:rPr>
                <w:rFonts w:hint="eastAsia" w:ascii="ＭＳ 明朝" w:hAnsi="ＭＳ 明朝" w:eastAsia="ＭＳ 明朝"/>
                <w:sz w:val="20"/>
              </w:rPr>
              <w:t>2</w:t>
            </w:r>
          </w:p>
        </w:tc>
        <w:tc>
          <w:tcPr>
            <w:tcW w:w="4958" w:type="dxa"/>
            <w:vAlign w:val="top"/>
          </w:tcPr>
          <w:p>
            <w:pPr>
              <w:pStyle w:val="0"/>
              <w:spacing w:line="280" w:lineRule="exact"/>
              <w:jc w:val="both"/>
              <w:rPr>
                <w:rFonts w:hint="default" w:ascii="ＭＳ ゴシック" w:hAnsi="ＭＳ ゴシック" w:eastAsia="ＭＳ ゴシック"/>
                <w:sz w:val="20"/>
                <w:shd w:val="clear" w:color="auto" w:fill="FFFFFF"/>
              </w:rPr>
            </w:pPr>
            <w:r>
              <w:rPr>
                <w:rFonts w:hint="default" w:ascii="ＭＳ ゴシック" w:hAnsi="ＭＳ ゴシック" w:eastAsia="ＭＳ ゴシック"/>
                <w:sz w:val="20"/>
                <w:shd w:val="clear" w:color="auto" w:fill="FFFFFF"/>
              </w:rPr>
              <w:t>「解体費用」および「流通」の経済的ボトルネックの解消について</w:t>
            </w:r>
          </w:p>
          <w:p>
            <w:pPr>
              <w:pStyle w:val="0"/>
              <w:spacing w:line="280" w:lineRule="exact"/>
              <w:jc w:val="both"/>
              <w:rPr>
                <w:rFonts w:hint="default" w:ascii="ＭＳ ゴシック" w:hAnsi="ＭＳ ゴシック" w:eastAsia="ＭＳ ゴシック"/>
                <w:sz w:val="20"/>
                <w:shd w:val="clear" w:color="auto" w:fill="FFFFFF"/>
              </w:rPr>
            </w:pPr>
            <w:r>
              <w:rPr>
                <w:rFonts w:hint="default" w:ascii="ＭＳ ゴシック" w:hAnsi="ＭＳ ゴシック" w:eastAsia="ＭＳ ゴシック"/>
                <w:sz w:val="20"/>
                <w:shd w:val="clear" w:color="auto" w:fill="FFFFFF"/>
              </w:rPr>
              <w:t>（該当箇所：「６</w:t>
            </w:r>
            <w:r>
              <w:rPr>
                <w:rFonts w:hint="default" w:ascii="ＭＳ ゴシック" w:hAnsi="ＭＳ ゴシック" w:eastAsia="ＭＳ ゴシック"/>
                <w:sz w:val="20"/>
                <w:shd w:val="clear" w:color="auto" w:fill="FFFFFF"/>
              </w:rPr>
              <w:t xml:space="preserve"> </w:t>
            </w:r>
            <w:r>
              <w:rPr>
                <w:rFonts w:hint="default" w:ascii="ＭＳ ゴシック" w:hAnsi="ＭＳ ゴシック" w:eastAsia="ＭＳ ゴシック"/>
                <w:sz w:val="20"/>
                <w:shd w:val="clear" w:color="auto" w:fill="FFFFFF"/>
              </w:rPr>
              <w:t>空家等に関する相談や対策の実施体制に関する事項」の「</w:t>
            </w:r>
            <w:r>
              <w:rPr>
                <w:rFonts w:hint="default" w:ascii="ＭＳ ゴシック" w:hAnsi="ＭＳ ゴシック" w:eastAsia="ＭＳ ゴシック"/>
                <w:sz w:val="20"/>
                <w:shd w:val="clear" w:color="auto" w:fill="FFFFFF"/>
              </w:rPr>
              <w:t>(1)</w:t>
            </w:r>
            <w:r>
              <w:rPr>
                <w:rFonts w:hint="default" w:ascii="ＭＳ ゴシック" w:hAnsi="ＭＳ ゴシック" w:eastAsia="ＭＳ ゴシック"/>
                <w:sz w:val="20"/>
                <w:shd w:val="clear" w:color="auto" w:fill="FFFFFF"/>
              </w:rPr>
              <w:t>基本的な考え方」）</w:t>
            </w:r>
          </w:p>
          <w:p>
            <w:pPr>
              <w:pStyle w:val="0"/>
              <w:spacing w:line="280" w:lineRule="exact"/>
              <w:jc w:val="both"/>
              <w:rPr>
                <w:rFonts w:hint="default" w:ascii="ＭＳ ゴシック" w:hAnsi="ＭＳ ゴシック" w:eastAsia="ＭＳ ゴシック"/>
                <w:sz w:val="20"/>
                <w:shd w:val="clear" w:color="auto" w:fill="FFFFFF"/>
              </w:rPr>
            </w:pPr>
            <w:r>
              <w:rPr>
                <w:rFonts w:hint="default" w:ascii="ＭＳ ゴシック" w:hAnsi="ＭＳ ゴシック" w:eastAsia="ＭＳ ゴシック"/>
                <w:sz w:val="20"/>
                <w:shd w:val="clear" w:color="auto" w:fill="FFFFFF"/>
              </w:rPr>
              <w:t>上記の該当箇所において、実態調査の結果として「解体費用が捻出できない」「買い手が見つからない」という課題が特定されていますが、これに対する施策が「連携・相談体制の強化」に留まっており、解決策として弱すぎます。</w:t>
            </w:r>
          </w:p>
          <w:p>
            <w:pPr>
              <w:pStyle w:val="0"/>
              <w:spacing w:line="280" w:lineRule="exact"/>
              <w:jc w:val="both"/>
              <w:rPr>
                <w:rFonts w:hint="default" w:ascii="ＭＳ ゴシック" w:hAnsi="ＭＳ ゴシック" w:eastAsia="ＭＳ ゴシック"/>
                <w:sz w:val="20"/>
                <w:shd w:val="clear" w:color="auto" w:fill="FFFFFF"/>
              </w:rPr>
            </w:pPr>
            <w:r>
              <w:rPr>
                <w:rFonts w:hint="default" w:ascii="ＭＳ ゴシック" w:hAnsi="ＭＳ ゴシック" w:eastAsia="ＭＳ ゴシック"/>
                <w:sz w:val="20"/>
                <w:shd w:val="clear" w:color="auto" w:fill="FFFFFF"/>
              </w:rPr>
              <w:t>所有者の行動変容を促すため、以下の施策を計画に盛り込んでください。</w:t>
            </w:r>
          </w:p>
          <w:p>
            <w:pPr>
              <w:pStyle w:val="0"/>
              <w:spacing w:line="280" w:lineRule="exact"/>
              <w:ind w:left="200" w:hanging="200" w:hangingChars="100"/>
              <w:jc w:val="both"/>
              <w:rPr>
                <w:rFonts w:hint="default" w:ascii="ＭＳ ゴシック" w:hAnsi="ＭＳ ゴシック" w:eastAsia="ＭＳ ゴシック"/>
                <w:sz w:val="20"/>
                <w:shd w:val="clear" w:color="auto" w:fill="FFFFFF"/>
              </w:rPr>
            </w:pPr>
            <w:r>
              <w:rPr>
                <w:rFonts w:hint="default" w:ascii="ＭＳ ゴシック" w:hAnsi="ＭＳ ゴシック" w:eastAsia="ＭＳ ゴシック"/>
                <w:sz w:val="20"/>
                <w:shd w:val="clear" w:color="auto" w:fill="FFFFFF"/>
              </w:rPr>
              <w:t>・危険空き家の除却に対する補助制度の拡充</w:t>
            </w:r>
          </w:p>
          <w:p>
            <w:pPr>
              <w:pStyle w:val="0"/>
              <w:spacing w:line="280" w:lineRule="exact"/>
              <w:ind w:left="200" w:hanging="200" w:hangingChars="100"/>
              <w:jc w:val="both"/>
              <w:rPr>
                <w:rFonts w:hint="default" w:ascii="ＭＳ ゴシック" w:hAnsi="ＭＳ ゴシック" w:eastAsia="ＭＳ ゴシック"/>
                <w:sz w:val="20"/>
                <w:shd w:val="clear" w:color="auto" w:fill="FFFFFF"/>
              </w:rPr>
            </w:pPr>
            <w:r>
              <w:rPr>
                <w:rFonts w:hint="default" w:ascii="ＭＳ ゴシック" w:hAnsi="ＭＳ ゴシック" w:eastAsia="ＭＳ ゴシック"/>
                <w:sz w:val="20"/>
                <w:shd w:val="clear" w:color="auto" w:fill="FFFFFF"/>
              </w:rPr>
              <w:t>・解体後の土地に対する固定資産税の減免措置（住宅用地特例解除による増税への対策）の検討</w:t>
            </w:r>
          </w:p>
          <w:p>
            <w:pPr>
              <w:pStyle w:val="0"/>
              <w:spacing w:line="280" w:lineRule="exact"/>
              <w:ind w:left="200" w:hanging="200" w:hangingChars="100"/>
              <w:jc w:val="both"/>
              <w:rPr>
                <w:rFonts w:hint="default" w:ascii="ＭＳ ゴシック" w:hAnsi="ＭＳ ゴシック" w:eastAsia="ＭＳ ゴシック"/>
                <w:sz w:val="20"/>
                <w:shd w:val="clear" w:color="auto" w:fill="FFFFFF"/>
              </w:rPr>
            </w:pPr>
            <w:r>
              <w:rPr>
                <w:rFonts w:hint="default" w:ascii="ＭＳ ゴシック" w:hAnsi="ＭＳ ゴシック" w:eastAsia="ＭＳ ゴシック"/>
                <w:sz w:val="20"/>
                <w:shd w:val="clear" w:color="auto" w:fill="FFFFFF"/>
              </w:rPr>
              <w:t>・市街化調整区域における用途変更や改修支援など、都市計画部門と連携した規制緩和による流通促進策</w:t>
            </w:r>
          </w:p>
          <w:p>
            <w:pPr>
              <w:pStyle w:val="0"/>
              <w:spacing w:line="280" w:lineRule="exact"/>
              <w:rPr>
                <w:rFonts w:hint="default" w:ascii="ＭＳ ゴシック" w:hAnsi="ＭＳ ゴシック" w:eastAsia="ＭＳ ゴシック"/>
                <w:sz w:val="20"/>
              </w:rPr>
            </w:pPr>
          </w:p>
        </w:tc>
        <w:tc>
          <w:tcPr>
            <w:tcW w:w="4676" w:type="dxa"/>
            <w:vAlign w:val="top"/>
          </w:tcPr>
          <w:p>
            <w:pPr>
              <w:pStyle w:val="30"/>
              <w:numPr>
                <w:numId w:val="0"/>
              </w:numPr>
              <w:spacing w:line="280" w:lineRule="exact"/>
              <w:ind w:left="262" w:leftChars="40" w:hanging="178" w:hangingChars="89"/>
              <w:rPr>
                <w:rFonts w:hint="eastAsia" w:ascii="ＭＳ ゴシック" w:hAnsi="ＭＳ ゴシック" w:eastAsia="ＭＳ ゴシック"/>
                <w:sz w:val="20"/>
              </w:rPr>
            </w:pPr>
            <w:r>
              <w:rPr>
                <w:rFonts w:hint="eastAsia" w:ascii="ＭＳ ゴシック" w:hAnsi="ＭＳ ゴシック" w:eastAsia="ＭＳ ゴシック"/>
                <w:sz w:val="20"/>
              </w:rPr>
              <w:t>①危険空き家の除却に対する補助制度の充実について</w:t>
            </w:r>
          </w:p>
          <w:p>
            <w:pPr>
              <w:pStyle w:val="0"/>
              <w:spacing w:line="280" w:lineRule="exact"/>
              <w:ind w:left="200" w:hanging="200" w:hangingChars="100"/>
              <w:rPr>
                <w:rFonts w:hint="eastAsia" w:ascii="ＭＳ ゴシック" w:hAnsi="ＭＳ ゴシック" w:eastAsia="ＭＳ ゴシック"/>
                <w:sz w:val="20"/>
              </w:rPr>
            </w:pPr>
            <w:r>
              <w:rPr>
                <w:rFonts w:hint="eastAsia" w:ascii="ＭＳ ゴシック" w:hAnsi="ＭＳ ゴシック" w:eastAsia="ＭＳ ゴシック"/>
                <w:sz w:val="20"/>
              </w:rPr>
              <w:t>・危険空き家に限らず空き家の解体や除却の補助制度の拡充については、本市の財政負担の面も踏まえて今後対応を検討いたします。なお、引き続き空家等の除却対応として所有者等が相談できる体制に取り組んでいきたいと考えています。</w:t>
            </w:r>
          </w:p>
          <w:p>
            <w:pPr>
              <w:pStyle w:val="0"/>
              <w:spacing w:line="280" w:lineRule="exact"/>
              <w:rPr>
                <w:rFonts w:hint="eastAsia" w:ascii="ＭＳ ゴシック" w:hAnsi="ＭＳ ゴシック" w:eastAsia="ＭＳ ゴシック"/>
                <w:sz w:val="20"/>
              </w:rPr>
            </w:pPr>
          </w:p>
          <w:p>
            <w:pPr>
              <w:pStyle w:val="30"/>
              <w:numPr>
                <w:numId w:val="0"/>
              </w:numPr>
              <w:spacing w:line="280" w:lineRule="exact"/>
              <w:ind w:left="260" w:leftChars="0" w:hanging="180" w:firstLineChars="0"/>
              <w:rPr>
                <w:rFonts w:hint="eastAsia" w:ascii="ＭＳ ゴシック" w:hAnsi="ＭＳ ゴシック" w:eastAsia="ＭＳ ゴシック"/>
                <w:sz w:val="20"/>
              </w:rPr>
            </w:pPr>
            <w:r>
              <w:rPr>
                <w:rFonts w:hint="eastAsia" w:ascii="ＭＳ ゴシック" w:hAnsi="ＭＳ ゴシック" w:eastAsia="ＭＳ ゴシック"/>
                <w:sz w:val="20"/>
              </w:rPr>
              <w:t>②解体後の土地に対する固定資産税の減免措置について</w:t>
            </w:r>
          </w:p>
          <w:p>
            <w:pPr>
              <w:pStyle w:val="0"/>
              <w:spacing w:line="280" w:lineRule="exact"/>
              <w:ind w:left="200" w:hanging="200" w:hangingChars="100"/>
              <w:rPr>
                <w:rFonts w:hint="eastAsia" w:ascii="ＭＳ ゴシック" w:hAnsi="ＭＳ ゴシック" w:eastAsia="ＭＳ ゴシック"/>
                <w:sz w:val="20"/>
              </w:rPr>
            </w:pPr>
            <w:r>
              <w:rPr>
                <w:rFonts w:hint="eastAsia" w:ascii="ＭＳ ゴシック" w:hAnsi="ＭＳ ゴシック" w:eastAsia="ＭＳ ゴシック"/>
                <w:sz w:val="20"/>
              </w:rPr>
              <w:t>・減免措置については、負担減免措置を活用することで除却が進行するという効果も期待できますが、一方で空家等となる前に家屋を除却した者との不公平感や、あえて空家等にしてから除却するなど、不公平感や利用者のモラルハザードの発生も予測されます。税制の見直しの実施に当たっては、これら想定されるマイナス面も考慮し、慎重に対応を図りたいと考えています。</w:t>
            </w:r>
          </w:p>
          <w:p>
            <w:pPr>
              <w:pStyle w:val="0"/>
              <w:spacing w:line="280" w:lineRule="exact"/>
              <w:rPr>
                <w:rFonts w:hint="eastAsia" w:ascii="ＭＳ ゴシック" w:hAnsi="ＭＳ ゴシック" w:eastAsia="ＭＳ ゴシック"/>
                <w:sz w:val="20"/>
              </w:rPr>
            </w:pPr>
          </w:p>
          <w:p>
            <w:pPr>
              <w:pStyle w:val="30"/>
              <w:numPr>
                <w:numId w:val="0"/>
              </w:numPr>
              <w:spacing w:line="280" w:lineRule="exact"/>
              <w:ind w:left="260" w:leftChars="0" w:hanging="180" w:firstLineChars="0"/>
              <w:rPr>
                <w:rFonts w:hint="eastAsia" w:ascii="ＭＳ ゴシック" w:hAnsi="ＭＳ ゴシック" w:eastAsia="ＭＳ ゴシック"/>
                <w:sz w:val="20"/>
              </w:rPr>
            </w:pPr>
            <w:r>
              <w:rPr>
                <w:rFonts w:hint="eastAsia" w:ascii="ＭＳ ゴシック" w:hAnsi="ＭＳ ゴシック" w:eastAsia="ＭＳ ゴシック"/>
                <w:sz w:val="20"/>
              </w:rPr>
              <w:t>③市街化調整区域における用途変更や改修支援など、都市計画部門と連携した規制緩和による流通促進策について</w:t>
            </w:r>
          </w:p>
          <w:p>
            <w:pPr>
              <w:pStyle w:val="0"/>
              <w:spacing w:line="280" w:lineRule="exact"/>
              <w:ind w:left="200" w:hanging="200" w:hangingChars="100"/>
              <w:rPr>
                <w:rFonts w:hint="eastAsia" w:ascii="ＭＳ ゴシック" w:hAnsi="ＭＳ ゴシック" w:eastAsia="ＭＳ ゴシック"/>
                <w:sz w:val="20"/>
              </w:rPr>
            </w:pPr>
            <w:r>
              <w:rPr>
                <w:rFonts w:hint="eastAsia" w:ascii="ＭＳ ゴシック" w:hAnsi="ＭＳ ゴシック" w:eastAsia="ＭＳ ゴシック"/>
                <w:sz w:val="20"/>
              </w:rPr>
              <w:t>・市街化調整区域での空家等の用途変更等については都市計画での土地利用の枠組みにおいて対応が可能と考えています。都市計画マスタープランにおいて、市街化を抑制すべき区域であるという性格を変えない範囲内において、地区計画制度による地区の特性に応じた田園居住環境の形成を図ることとしています。</w:t>
            </w:r>
          </w:p>
          <w:p>
            <w:pPr>
              <w:pStyle w:val="0"/>
              <w:spacing w:line="280" w:lineRule="exact"/>
              <w:ind w:left="200" w:hanging="200" w:hangingChars="100"/>
              <w:rPr>
                <w:rFonts w:hint="eastAsia" w:ascii="ＭＳ ゴシック" w:hAnsi="ＭＳ ゴシック" w:eastAsia="ＭＳ ゴシック"/>
                <w:sz w:val="20"/>
              </w:rPr>
            </w:pPr>
            <w:r>
              <w:rPr>
                <w:rFonts w:hint="eastAsia" w:ascii="ＭＳ ゴシック" w:hAnsi="ＭＳ ゴシック" w:eastAsia="ＭＳ ゴシック"/>
                <w:sz w:val="20"/>
              </w:rPr>
              <w:t>　今後も都市計画と連携を図りながら、居住環境の改善に取り組みたいと考えています。</w:t>
            </w:r>
          </w:p>
          <w:p>
            <w:pPr>
              <w:pStyle w:val="0"/>
              <w:spacing w:line="280" w:lineRule="exact"/>
              <w:rPr>
                <w:rFonts w:hint="eastAsia" w:ascii="ＭＳ ゴシック" w:hAnsi="ＭＳ ゴシック" w:eastAsia="ＭＳ ゴシック"/>
                <w:sz w:val="20"/>
              </w:rPr>
            </w:pPr>
          </w:p>
        </w:tc>
      </w:tr>
      <w:tr>
        <w:trPr/>
        <w:tc>
          <w:tcPr>
            <w:tcW w:w="426" w:type="dxa"/>
            <w:vAlign w:val="top"/>
          </w:tcPr>
          <w:p>
            <w:pPr>
              <w:pStyle w:val="0"/>
              <w:spacing w:line="280" w:lineRule="exact"/>
              <w:rPr>
                <w:rFonts w:hint="default" w:ascii="ＭＳ 明朝" w:hAnsi="ＭＳ 明朝" w:eastAsia="ＭＳ 明朝"/>
                <w:sz w:val="20"/>
              </w:rPr>
            </w:pPr>
            <w:r>
              <w:rPr>
                <w:rFonts w:hint="eastAsia" w:ascii="ＭＳ 明朝" w:hAnsi="ＭＳ 明朝" w:eastAsia="ＭＳ 明朝"/>
                <w:sz w:val="20"/>
              </w:rPr>
              <w:t>3</w:t>
            </w:r>
          </w:p>
        </w:tc>
        <w:tc>
          <w:tcPr>
            <w:tcW w:w="4958" w:type="dxa"/>
            <w:vAlign w:val="top"/>
          </w:tcPr>
          <w:p>
            <w:pPr>
              <w:pStyle w:val="0"/>
              <w:spacing w:line="280" w:lineRule="exact"/>
              <w:jc w:val="both"/>
              <w:rPr>
                <w:rFonts w:hint="default" w:ascii="ＭＳ ゴシック" w:hAnsi="ＭＳ ゴシック" w:eastAsia="ＭＳ ゴシック"/>
                <w:sz w:val="20"/>
                <w:shd w:val="clear" w:color="auto" w:fill="FFFFFF"/>
              </w:rPr>
            </w:pPr>
            <w:r>
              <w:rPr>
                <w:rFonts w:hint="default" w:ascii="ＭＳ ゴシック" w:hAnsi="ＭＳ ゴシック" w:eastAsia="ＭＳ ゴシック"/>
                <w:sz w:val="20"/>
                <w:shd w:val="clear" w:color="auto" w:fill="FFFFFF"/>
              </w:rPr>
              <w:t>「発生予防」へのアプローチ強化について</w:t>
            </w:r>
          </w:p>
          <w:p>
            <w:pPr>
              <w:pStyle w:val="0"/>
              <w:spacing w:line="280" w:lineRule="exact"/>
              <w:jc w:val="both"/>
              <w:rPr>
                <w:rFonts w:hint="default" w:ascii="ＭＳ ゴシック" w:hAnsi="ＭＳ ゴシック" w:eastAsia="ＭＳ ゴシック"/>
                <w:sz w:val="20"/>
                <w:shd w:val="clear" w:color="auto" w:fill="FFFFFF"/>
              </w:rPr>
            </w:pPr>
            <w:r>
              <w:rPr>
                <w:rFonts w:hint="default" w:ascii="ＭＳ ゴシック" w:hAnsi="ＭＳ ゴシック" w:eastAsia="ＭＳ ゴシック"/>
                <w:sz w:val="20"/>
                <w:shd w:val="clear" w:color="auto" w:fill="FFFFFF"/>
              </w:rPr>
              <w:t>（該当箇所：「空家等の発生の未然防止に関する事項」、または予防・啓発に関連する項目）</w:t>
            </w:r>
          </w:p>
          <w:p>
            <w:pPr>
              <w:pStyle w:val="0"/>
              <w:spacing w:line="280" w:lineRule="exact"/>
              <w:jc w:val="both"/>
              <w:rPr>
                <w:rFonts w:hint="default" w:ascii="ＭＳ ゴシック" w:hAnsi="ＭＳ ゴシック" w:eastAsia="ＭＳ ゴシック"/>
                <w:sz w:val="20"/>
                <w:shd w:val="clear" w:color="auto" w:fill="FFFFFF"/>
              </w:rPr>
            </w:pPr>
            <w:r>
              <w:rPr>
                <w:rFonts w:hint="default" w:ascii="ＭＳ ゴシック" w:hAnsi="ＭＳ ゴシック" w:eastAsia="ＭＳ ゴシック"/>
                <w:sz w:val="20"/>
                <w:shd w:val="clear" w:color="auto" w:fill="FFFFFF"/>
              </w:rPr>
              <w:t>現役世代・次世代にとって、管理不全の空き家は地域の安全性や資産価値を損なう「負の遺産」です。</w:t>
            </w:r>
          </w:p>
          <w:p>
            <w:pPr>
              <w:pStyle w:val="0"/>
              <w:spacing w:line="280" w:lineRule="exact"/>
              <w:jc w:val="both"/>
              <w:rPr>
                <w:rFonts w:hint="default" w:ascii="ＭＳ ゴシック" w:hAnsi="ＭＳ ゴシック" w:eastAsia="ＭＳ ゴシック"/>
                <w:sz w:val="20"/>
                <w:shd w:val="clear" w:color="auto" w:fill="FFFFFF"/>
              </w:rPr>
            </w:pPr>
            <w:r>
              <w:rPr>
                <w:rFonts w:hint="default" w:ascii="ＭＳ ゴシック" w:hAnsi="ＭＳ ゴシック" w:eastAsia="ＭＳ ゴシック"/>
                <w:sz w:val="20"/>
                <w:shd w:val="clear" w:color="auto" w:fill="FFFFFF"/>
              </w:rPr>
              <w:t>事後対応だけでなく、空き家発生の主要因である「相続」発生前の段階で、権利関係の整理や登記を促す仕組み（専門家との連携強化等）を「予防策」としてより具体的かつ強力に推進してください。</w:t>
            </w:r>
          </w:p>
          <w:p>
            <w:pPr>
              <w:pStyle w:val="0"/>
              <w:spacing w:line="280" w:lineRule="exact"/>
              <w:rPr>
                <w:rFonts w:hint="default" w:ascii="ＭＳ ゴシック" w:hAnsi="ＭＳ ゴシック" w:eastAsia="ＭＳ ゴシック"/>
                <w:sz w:val="20"/>
              </w:rPr>
            </w:pPr>
          </w:p>
        </w:tc>
        <w:tc>
          <w:tcPr>
            <w:tcW w:w="4676" w:type="dxa"/>
            <w:vAlign w:val="top"/>
          </w:tcPr>
          <w:p>
            <w:pPr>
              <w:pStyle w:val="0"/>
              <w:spacing w:line="280" w:lineRule="exact"/>
              <w:ind w:left="84" w:leftChars="40"/>
              <w:rPr>
                <w:rFonts w:hint="eastAsia" w:ascii="ＭＳ ゴシック" w:hAnsi="ＭＳ ゴシック" w:eastAsia="ＭＳ ゴシック"/>
                <w:sz w:val="20"/>
              </w:rPr>
            </w:pPr>
            <w:r>
              <w:rPr>
                <w:rFonts w:hint="eastAsia" w:ascii="ＭＳ ゴシック" w:hAnsi="ＭＳ ゴシック" w:eastAsia="ＭＳ ゴシック"/>
                <w:sz w:val="20"/>
              </w:rPr>
              <w:t>発生予防のアプローチ強化として、【パブリックコメント案】</w:t>
            </w:r>
            <w:r>
              <w:rPr>
                <w:rFonts w:hint="eastAsia" w:ascii="ＭＳ ゴシック" w:hAnsi="ＭＳ ゴシック" w:eastAsia="ＭＳ ゴシック"/>
                <w:sz w:val="20"/>
              </w:rPr>
              <w:t>P24</w:t>
            </w:r>
            <w:r>
              <w:rPr>
                <w:rFonts w:hint="eastAsia" w:ascii="ＭＳ ゴシック" w:hAnsi="ＭＳ ゴシック" w:eastAsia="ＭＳ ゴシック"/>
                <w:sz w:val="20"/>
              </w:rPr>
              <w:t>に記載していますとおり、空家等の発生予防として「適切な相続登記が行われないために、権利関係が複雑となることがあります。速やかに相続登記が行われるように関係団体と連携して取り組みます」としております。</w:t>
            </w:r>
          </w:p>
          <w:p>
            <w:pPr>
              <w:pStyle w:val="0"/>
              <w:spacing w:line="280" w:lineRule="exact"/>
              <w:ind w:left="82" w:leftChars="39" w:firstLine="4" w:firstLineChars="2"/>
              <w:rPr>
                <w:rFonts w:hint="eastAsia" w:ascii="ＭＳ ゴシック" w:hAnsi="ＭＳ ゴシック" w:eastAsia="ＭＳ ゴシック"/>
                <w:sz w:val="20"/>
              </w:rPr>
            </w:pPr>
            <w:r>
              <w:rPr>
                <w:rFonts w:hint="eastAsia" w:ascii="ＭＳ ゴシック" w:hAnsi="ＭＳ ゴシック" w:eastAsia="ＭＳ ゴシック"/>
                <w:sz w:val="20"/>
              </w:rPr>
              <w:t>また、予防策として、当事者が家の将来を自分たちの問題として考える視点を持つことが最大の予防であると考えます。自治会への啓発活動として、家を誰が相続するのかを話し合うきっかけを作る説明会を令和８年度より新たに進めていきます。</w:t>
            </w:r>
          </w:p>
        </w:tc>
      </w:tr>
      <w:tr>
        <w:trPr/>
        <w:tc>
          <w:tcPr>
            <w:tcW w:w="426" w:type="dxa"/>
            <w:vAlign w:val="top"/>
          </w:tcPr>
          <w:p>
            <w:pPr>
              <w:pStyle w:val="0"/>
              <w:spacing w:line="280" w:lineRule="exact"/>
              <w:rPr>
                <w:rFonts w:hint="default" w:ascii="ＭＳ 明朝" w:hAnsi="ＭＳ 明朝" w:eastAsia="ＭＳ 明朝"/>
                <w:sz w:val="20"/>
              </w:rPr>
            </w:pPr>
            <w:r>
              <w:rPr>
                <w:rFonts w:hint="eastAsia" w:ascii="ＭＳ 明朝" w:hAnsi="ＭＳ 明朝" w:eastAsia="ＭＳ 明朝"/>
                <w:sz w:val="20"/>
              </w:rPr>
              <w:t>4</w:t>
            </w:r>
          </w:p>
        </w:tc>
        <w:tc>
          <w:tcPr>
            <w:tcW w:w="4958" w:type="dxa"/>
            <w:vAlign w:val="top"/>
          </w:tcPr>
          <w:p>
            <w:pPr>
              <w:pStyle w:val="0"/>
              <w:spacing w:line="280" w:lineRule="exact"/>
              <w:jc w:val="both"/>
              <w:rPr>
                <w:rFonts w:hint="default" w:ascii="ＭＳ ゴシック" w:hAnsi="ＭＳ ゴシック" w:eastAsia="ＭＳ ゴシック"/>
                <w:sz w:val="20"/>
                <w:shd w:val="clear" w:color="auto" w:fill="FFFFFF"/>
              </w:rPr>
            </w:pPr>
            <w:r>
              <w:rPr>
                <w:rFonts w:hint="default" w:ascii="ＭＳ ゴシック" w:hAnsi="ＭＳ ゴシック" w:eastAsia="ＭＳ ゴシック"/>
                <w:sz w:val="20"/>
                <w:shd w:val="clear" w:color="auto" w:fill="FFFFFF"/>
              </w:rPr>
              <w:t>自治会の負担軽減と</w:t>
            </w:r>
            <w:r>
              <w:rPr>
                <w:rFonts w:hint="default" w:ascii="ＭＳ ゴシック" w:hAnsi="ＭＳ ゴシック" w:eastAsia="ＭＳ ゴシック"/>
                <w:sz w:val="20"/>
                <w:shd w:val="clear" w:color="auto" w:fill="FFFFFF"/>
              </w:rPr>
              <w:t>DX</w:t>
            </w:r>
            <w:r>
              <w:rPr>
                <w:rFonts w:hint="default" w:ascii="ＭＳ ゴシック" w:hAnsi="ＭＳ ゴシック" w:eastAsia="ＭＳ ゴシック"/>
                <w:sz w:val="20"/>
                <w:shd w:val="clear" w:color="auto" w:fill="FFFFFF"/>
              </w:rPr>
              <w:t>による効率化について</w:t>
            </w:r>
          </w:p>
          <w:p>
            <w:pPr>
              <w:pStyle w:val="0"/>
              <w:spacing w:line="280" w:lineRule="exact"/>
              <w:jc w:val="both"/>
              <w:rPr>
                <w:rFonts w:hint="default" w:ascii="ＭＳ ゴシック" w:hAnsi="ＭＳ ゴシック" w:eastAsia="ＭＳ ゴシック"/>
                <w:sz w:val="20"/>
                <w:shd w:val="clear" w:color="auto" w:fill="FFFFFF"/>
              </w:rPr>
            </w:pPr>
            <w:r>
              <w:rPr>
                <w:rFonts w:hint="default" w:ascii="ＭＳ ゴシック" w:hAnsi="ＭＳ ゴシック" w:eastAsia="ＭＳ ゴシック"/>
                <w:sz w:val="20"/>
                <w:shd w:val="clear" w:color="auto" w:fill="FFFFFF"/>
              </w:rPr>
              <w:t>（該当箇所：「６</w:t>
            </w:r>
            <w:r>
              <w:rPr>
                <w:rFonts w:hint="default" w:ascii="ＭＳ ゴシック" w:hAnsi="ＭＳ ゴシック" w:eastAsia="ＭＳ ゴシック"/>
                <w:sz w:val="20"/>
                <w:shd w:val="clear" w:color="auto" w:fill="FFFFFF"/>
              </w:rPr>
              <w:t xml:space="preserve"> </w:t>
            </w:r>
            <w:r>
              <w:rPr>
                <w:rFonts w:hint="default" w:ascii="ＭＳ ゴシック" w:hAnsi="ＭＳ ゴシック" w:eastAsia="ＭＳ ゴシック"/>
                <w:sz w:val="20"/>
                <w:shd w:val="clear" w:color="auto" w:fill="FFFFFF"/>
              </w:rPr>
              <w:t>空家等に関する相談や対策の実施体制に関する事項」の「</w:t>
            </w:r>
            <w:r>
              <w:rPr>
                <w:rFonts w:hint="default" w:ascii="ＭＳ ゴシック" w:hAnsi="ＭＳ ゴシック" w:eastAsia="ＭＳ ゴシック"/>
                <w:sz w:val="20"/>
                <w:shd w:val="clear" w:color="auto" w:fill="FFFFFF"/>
              </w:rPr>
              <w:t>(2)</w:t>
            </w:r>
            <w:r>
              <w:rPr>
                <w:rFonts w:hint="default" w:ascii="ＭＳ ゴシック" w:hAnsi="ＭＳ ゴシック" w:eastAsia="ＭＳ ゴシック"/>
                <w:sz w:val="20"/>
                <w:shd w:val="clear" w:color="auto" w:fill="FFFFFF"/>
              </w:rPr>
              <w:t>空家等に関する対策の相談や実施体制」および「実施体制のイメージ」）</w:t>
            </w:r>
          </w:p>
          <w:p>
            <w:pPr>
              <w:pStyle w:val="0"/>
              <w:spacing w:line="280" w:lineRule="exact"/>
              <w:jc w:val="both"/>
              <w:rPr>
                <w:rFonts w:hint="default" w:ascii="ＭＳ ゴシック" w:hAnsi="ＭＳ ゴシック" w:eastAsia="ＭＳ ゴシック"/>
                <w:sz w:val="20"/>
                <w:shd w:val="clear" w:color="auto" w:fill="FFFFFF"/>
              </w:rPr>
            </w:pPr>
            <w:r>
              <w:rPr>
                <w:rFonts w:hint="default" w:ascii="ＭＳ ゴシック" w:hAnsi="ＭＳ ゴシック" w:eastAsia="ＭＳ ゴシック"/>
                <w:sz w:val="20"/>
                <w:shd w:val="clear" w:color="auto" w:fill="FFFFFF"/>
              </w:rPr>
              <w:t>計画案にある「自治会との連携」は重要ですが、高齢化が進む地域コミュニティに対し、監視や所有者探索の負担を過度に依存することは持続可能ではありません。</w:t>
            </w:r>
          </w:p>
          <w:p>
            <w:pPr>
              <w:pStyle w:val="0"/>
              <w:spacing w:line="280" w:lineRule="exact"/>
              <w:ind w:left="200" w:hanging="200" w:hangingChars="100"/>
              <w:jc w:val="both"/>
              <w:rPr>
                <w:rFonts w:hint="default" w:ascii="ＭＳ ゴシック" w:hAnsi="ＭＳ ゴシック" w:eastAsia="ＭＳ ゴシック"/>
                <w:sz w:val="20"/>
                <w:shd w:val="clear" w:color="auto" w:fill="FFFFFF"/>
              </w:rPr>
            </w:pPr>
            <w:r>
              <w:rPr>
                <w:rFonts w:hint="default" w:ascii="ＭＳ ゴシック" w:hAnsi="ＭＳ ゴシック" w:eastAsia="ＭＳ ゴシック"/>
                <w:sz w:val="20"/>
                <w:shd w:val="clear" w:color="auto" w:fill="FFFFFF"/>
              </w:rPr>
              <w:t>・調査、指導、勧告等の実務責任は行政（または専門受託者）にあることの明記</w:t>
            </w:r>
          </w:p>
          <w:p>
            <w:pPr>
              <w:pStyle w:val="0"/>
              <w:spacing w:line="280" w:lineRule="exact"/>
              <w:ind w:left="200" w:hanging="200" w:hangingChars="100"/>
              <w:jc w:val="both"/>
              <w:rPr>
                <w:rFonts w:hint="default" w:ascii="ＭＳ ゴシック" w:hAnsi="ＭＳ ゴシック" w:eastAsia="ＭＳ ゴシック"/>
                <w:sz w:val="20"/>
                <w:shd w:val="clear" w:color="auto" w:fill="FFFFFF"/>
              </w:rPr>
            </w:pPr>
            <w:r>
              <w:rPr>
                <w:rFonts w:hint="default" w:ascii="ＭＳ ゴシック" w:hAnsi="ＭＳ ゴシック" w:eastAsia="ＭＳ ゴシック"/>
                <w:sz w:val="20"/>
                <w:shd w:val="clear" w:color="auto" w:fill="FFFFFF"/>
              </w:rPr>
              <w:t>・スマートフォン等を活用した通報システムや、</w:t>
            </w:r>
            <w:r>
              <w:rPr>
                <w:rFonts w:hint="default" w:ascii="ＭＳ ゴシック" w:hAnsi="ＭＳ ゴシック" w:eastAsia="ＭＳ ゴシック"/>
                <w:sz w:val="20"/>
                <w:shd w:val="clear" w:color="auto" w:fill="FFFFFF"/>
              </w:rPr>
              <w:t>GIS</w:t>
            </w:r>
            <w:r>
              <w:rPr>
                <w:rFonts w:hint="default" w:ascii="ＭＳ ゴシック" w:hAnsi="ＭＳ ゴシック" w:eastAsia="ＭＳ ゴシック"/>
                <w:sz w:val="20"/>
                <w:shd w:val="clear" w:color="auto" w:fill="FFFFFF"/>
              </w:rPr>
              <w:t>（地理情報システム）による管理台帳の整備など、デジタル技術（</w:t>
            </w:r>
            <w:r>
              <w:rPr>
                <w:rFonts w:hint="default" w:ascii="ＭＳ ゴシック" w:hAnsi="ＭＳ ゴシック" w:eastAsia="ＭＳ ゴシック"/>
                <w:sz w:val="20"/>
                <w:shd w:val="clear" w:color="auto" w:fill="FFFFFF"/>
              </w:rPr>
              <w:t>DX</w:t>
            </w:r>
            <w:r>
              <w:rPr>
                <w:rFonts w:hint="default" w:ascii="ＭＳ ゴシック" w:hAnsi="ＭＳ ゴシック" w:eastAsia="ＭＳ ゴシック"/>
                <w:sz w:val="20"/>
                <w:shd w:val="clear" w:color="auto" w:fill="FFFFFF"/>
              </w:rPr>
              <w:t>）を活用した効率的な情報収集体制の構築</w:t>
            </w:r>
          </w:p>
          <w:p>
            <w:pPr>
              <w:pStyle w:val="0"/>
              <w:spacing w:line="280" w:lineRule="exact"/>
              <w:jc w:val="both"/>
              <w:rPr>
                <w:rFonts w:hint="default" w:ascii="ＭＳ ゴシック" w:hAnsi="ＭＳ ゴシック" w:eastAsia="ＭＳ ゴシック"/>
                <w:sz w:val="20"/>
              </w:rPr>
            </w:pPr>
            <w:r>
              <w:rPr>
                <w:rFonts w:hint="default" w:ascii="ＭＳ ゴシック" w:hAnsi="ＭＳ ゴシック" w:eastAsia="ＭＳ ゴシック"/>
                <w:sz w:val="20"/>
                <w:shd w:val="clear" w:color="auto" w:fill="FFFFFF"/>
              </w:rPr>
              <w:t>以上、いなべ市の持続可能な発展のため、実効性のある計画となるよう強く要望します。</w:t>
            </w:r>
          </w:p>
          <w:p>
            <w:pPr>
              <w:pStyle w:val="0"/>
              <w:spacing w:line="280" w:lineRule="exact"/>
              <w:jc w:val="both"/>
              <w:rPr>
                <w:rFonts w:hint="default" w:ascii="ＭＳ ゴシック" w:hAnsi="ＭＳ ゴシック" w:eastAsia="ＭＳ ゴシック"/>
                <w:sz w:val="20"/>
              </w:rPr>
            </w:pPr>
          </w:p>
        </w:tc>
        <w:tc>
          <w:tcPr>
            <w:tcW w:w="4676" w:type="dxa"/>
            <w:vAlign w:val="top"/>
          </w:tcPr>
          <w:p>
            <w:pPr>
              <w:pStyle w:val="0"/>
              <w:spacing w:line="280" w:lineRule="exact"/>
              <w:ind w:left="200" w:hanging="200" w:hangingChars="100"/>
              <w:jc w:val="both"/>
              <w:rPr>
                <w:rFonts w:hint="eastAsia" w:ascii="ＭＳ ゴシック" w:hAnsi="ＭＳ ゴシック" w:eastAsia="ＭＳ ゴシック"/>
                <w:sz w:val="20"/>
                <w:shd w:val="clear" w:color="auto" w:fill="FFFFFF"/>
              </w:rPr>
            </w:pPr>
            <w:r>
              <w:rPr>
                <w:rFonts w:hint="eastAsia" w:ascii="ＭＳ ゴシック" w:hAnsi="ＭＳ ゴシック" w:eastAsia="ＭＳ ゴシック"/>
                <w:sz w:val="20"/>
                <w:shd w:val="clear" w:color="auto" w:fill="FFFFFF"/>
              </w:rPr>
              <w:t>①調査、指導、勧告等の実務責任は行政（または専門受託者）にあることの明記</w:t>
            </w:r>
          </w:p>
          <w:p>
            <w:pPr>
              <w:pStyle w:val="0"/>
              <w:spacing w:line="280" w:lineRule="exact"/>
              <w:ind w:left="200" w:hanging="200" w:hangingChars="100"/>
              <w:jc w:val="both"/>
              <w:rPr>
                <w:rFonts w:hint="eastAsia" w:ascii="ＭＳ ゴシック" w:hAnsi="ＭＳ ゴシック" w:eastAsia="ＭＳ ゴシック"/>
                <w:sz w:val="20"/>
                <w:shd w:val="clear" w:color="auto" w:fill="FFFFFF"/>
              </w:rPr>
            </w:pPr>
            <w:r>
              <w:rPr>
                <w:rFonts w:hint="eastAsia" w:ascii="ＭＳ ゴシック" w:hAnsi="ＭＳ ゴシック" w:eastAsia="ＭＳ ゴシック"/>
                <w:sz w:val="20"/>
                <w:shd w:val="clear" w:color="auto" w:fill="FFFFFF"/>
              </w:rPr>
              <w:t>・空家等の増加は地域コミュニティに直接影響を与えるものであり、また空家等の最新の状況を知悉するのも地域コミュニティであることから、自治会との連携は今後も不可欠であると考えています。また自治会との情報連携体制は築かれているものと認識しており、今後も関係の構築を維持していきたいと考えています。</w:t>
            </w:r>
          </w:p>
          <w:p>
            <w:pPr>
              <w:pStyle w:val="0"/>
              <w:spacing w:line="280" w:lineRule="exact"/>
              <w:ind w:left="200" w:hanging="200" w:hangingChars="100"/>
              <w:jc w:val="both"/>
              <w:rPr>
                <w:rFonts w:hint="eastAsia" w:ascii="ＭＳ ゴシック" w:hAnsi="ＭＳ ゴシック" w:eastAsia="ＭＳ ゴシック"/>
                <w:sz w:val="20"/>
                <w:shd w:val="clear" w:color="auto" w:fill="FFFFFF"/>
              </w:rPr>
            </w:pPr>
            <w:r>
              <w:rPr>
                <w:rFonts w:hint="eastAsia" w:ascii="ＭＳ ゴシック" w:hAnsi="ＭＳ ゴシック" w:eastAsia="ＭＳ ゴシック"/>
                <w:sz w:val="20"/>
                <w:shd w:val="clear" w:color="auto" w:fill="FFFFFF"/>
              </w:rPr>
              <w:t>　なお、「５</w:t>
            </w:r>
            <w:r>
              <w:rPr>
                <w:rFonts w:hint="eastAsia" w:ascii="ＭＳ ゴシック" w:hAnsi="ＭＳ ゴシック" w:eastAsia="ＭＳ ゴシック"/>
                <w:sz w:val="20"/>
                <w:shd w:val="clear" w:color="auto" w:fill="FFFFFF"/>
              </w:rPr>
              <w:t xml:space="preserve"> </w:t>
            </w:r>
            <w:r>
              <w:rPr>
                <w:rFonts w:hint="eastAsia" w:ascii="ＭＳ ゴシック" w:hAnsi="ＭＳ ゴシック" w:eastAsia="ＭＳ ゴシック"/>
                <w:sz w:val="20"/>
                <w:shd w:val="clear" w:color="auto" w:fill="FFFFFF"/>
              </w:rPr>
              <w:t>特定空家等の適正な対応（基本方針４）」</w:t>
            </w:r>
            <w:bookmarkStart w:id="0" w:name="_GoBack"/>
            <w:bookmarkEnd w:id="0"/>
            <w:r>
              <w:rPr>
                <w:rFonts w:hint="eastAsia" w:ascii="ＭＳ ゴシック" w:hAnsi="ＭＳ ゴシック" w:eastAsia="ＭＳ ゴシック"/>
                <w:sz w:val="20"/>
                <w:shd w:val="clear" w:color="auto" w:fill="FFFFFF"/>
              </w:rPr>
              <w:t>にある特定空家等に対する措置に記載のあるフローに基づき、調査、指導、勧告等を進</w:t>
            </w:r>
            <w:r>
              <w:rPr>
                <w:rFonts w:hint="eastAsia" w:ascii="ＭＳ ゴシック" w:hAnsi="ＭＳ ゴシック" w:eastAsia="ＭＳ ゴシック"/>
                <w:color w:val="auto"/>
                <w:sz w:val="20"/>
                <w:shd w:val="clear" w:color="auto" w:fill="FFFFFF"/>
              </w:rPr>
              <w:t>め</w:t>
            </w:r>
            <w:r>
              <w:rPr>
                <w:rFonts w:hint="eastAsia" w:ascii="ＭＳ ゴシック" w:hAnsi="ＭＳ ゴシック" w:eastAsia="ＭＳ ゴシック"/>
                <w:sz w:val="20"/>
                <w:shd w:val="clear" w:color="auto" w:fill="FFFFFF"/>
              </w:rPr>
              <w:t>ていきます。</w:t>
            </w:r>
          </w:p>
          <w:p>
            <w:pPr>
              <w:pStyle w:val="0"/>
              <w:spacing w:line="280" w:lineRule="exact"/>
              <w:ind w:left="200" w:hanging="200" w:hangingChars="100"/>
              <w:jc w:val="both"/>
              <w:rPr>
                <w:rFonts w:hint="eastAsia" w:ascii="ＭＳ ゴシック" w:hAnsi="ＭＳ ゴシック" w:eastAsia="ＭＳ ゴシック"/>
                <w:sz w:val="20"/>
                <w:shd w:val="clear" w:color="auto" w:fill="FFFFFF"/>
              </w:rPr>
            </w:pPr>
          </w:p>
          <w:p>
            <w:pPr>
              <w:pStyle w:val="0"/>
              <w:spacing w:line="280" w:lineRule="exact"/>
              <w:ind w:left="200" w:hanging="200" w:hangingChars="100"/>
              <w:jc w:val="both"/>
              <w:rPr>
                <w:rFonts w:hint="eastAsia" w:ascii="ＭＳ ゴシック" w:hAnsi="ＭＳ ゴシック" w:eastAsia="ＭＳ ゴシック"/>
                <w:sz w:val="20"/>
                <w:shd w:val="clear" w:color="auto" w:fill="FFFFFF"/>
              </w:rPr>
            </w:pPr>
            <w:r>
              <w:rPr>
                <w:rFonts w:hint="eastAsia" w:ascii="ＭＳ ゴシック" w:hAnsi="ＭＳ ゴシック" w:eastAsia="ＭＳ ゴシック"/>
                <w:sz w:val="20"/>
                <w:shd w:val="clear" w:color="auto" w:fill="FFFFFF"/>
              </w:rPr>
              <w:t>②スマートフォン等を活用した通報システムや、</w:t>
            </w:r>
            <w:r>
              <w:rPr>
                <w:rFonts w:hint="eastAsia" w:ascii="ＭＳ ゴシック" w:hAnsi="ＭＳ ゴシック" w:eastAsia="ＭＳ ゴシック"/>
                <w:sz w:val="20"/>
                <w:shd w:val="clear" w:color="auto" w:fill="FFFFFF"/>
              </w:rPr>
              <w:t>GIS</w:t>
            </w:r>
            <w:r>
              <w:rPr>
                <w:rFonts w:hint="eastAsia" w:ascii="ＭＳ ゴシック" w:hAnsi="ＭＳ ゴシック" w:eastAsia="ＭＳ ゴシック"/>
                <w:sz w:val="20"/>
                <w:shd w:val="clear" w:color="auto" w:fill="FFFFFF"/>
              </w:rPr>
              <w:t>（地理情報システム）による管理台帳の整備など、デジタル技術（</w:t>
            </w:r>
            <w:r>
              <w:rPr>
                <w:rFonts w:hint="eastAsia" w:ascii="ＭＳ ゴシック" w:hAnsi="ＭＳ ゴシック" w:eastAsia="ＭＳ ゴシック"/>
                <w:sz w:val="20"/>
                <w:shd w:val="clear" w:color="auto" w:fill="FFFFFF"/>
              </w:rPr>
              <w:t>DX</w:t>
            </w:r>
            <w:r>
              <w:rPr>
                <w:rFonts w:hint="eastAsia" w:ascii="ＭＳ ゴシック" w:hAnsi="ＭＳ ゴシック" w:eastAsia="ＭＳ ゴシック"/>
                <w:sz w:val="20"/>
                <w:shd w:val="clear" w:color="auto" w:fill="FFFFFF"/>
              </w:rPr>
              <w:t>）を活用した効率的な情報収集体制の構築</w:t>
            </w:r>
          </w:p>
          <w:p>
            <w:pPr>
              <w:pStyle w:val="0"/>
              <w:spacing w:line="280" w:lineRule="exact"/>
              <w:ind w:left="200" w:hanging="200" w:hangingChars="100"/>
              <w:jc w:val="both"/>
              <w:rPr>
                <w:rFonts w:hint="eastAsia" w:ascii="ＭＳ ゴシック" w:hAnsi="ＭＳ ゴシック" w:eastAsia="ＭＳ ゴシック"/>
                <w:sz w:val="20"/>
                <w:shd w:val="clear" w:color="auto" w:fill="FFFFFF"/>
              </w:rPr>
            </w:pPr>
            <w:r>
              <w:rPr>
                <w:rFonts w:hint="eastAsia" w:ascii="ＭＳ ゴシック" w:hAnsi="ＭＳ ゴシック" w:eastAsia="ＭＳ ゴシック"/>
                <w:sz w:val="20"/>
                <w:shd w:val="clear" w:color="auto" w:fill="FFFFFF"/>
              </w:rPr>
              <w:t>・本市でのこれまでの実態調査及びデータベース作成については、計画書で明記はしていませんが、すでにタブレットを使用した現地調査確認システム、ＧＩＳを用いた図化対応等を導入しております。今後も随時技術の発展に対応した情報収集体制の改善に取り組みたいと考えています。</w:t>
            </w:r>
          </w:p>
          <w:p>
            <w:pPr>
              <w:pStyle w:val="0"/>
              <w:spacing w:line="280" w:lineRule="exact"/>
              <w:rPr>
                <w:rFonts w:hint="eastAsia" w:ascii="ＭＳ ゴシック" w:hAnsi="ＭＳ ゴシック" w:eastAsia="ＭＳ ゴシック"/>
                <w:sz w:val="20"/>
              </w:rPr>
            </w:pPr>
          </w:p>
        </w:tc>
      </w:tr>
      <w:tr>
        <w:trPr/>
        <w:tc>
          <w:tcPr>
            <w:tcW w:w="426" w:type="dxa"/>
            <w:vAlign w:val="top"/>
          </w:tcPr>
          <w:p>
            <w:pPr>
              <w:pStyle w:val="0"/>
              <w:spacing w:line="280" w:lineRule="exact"/>
              <w:rPr>
                <w:rFonts w:hint="default" w:ascii="ＭＳ 明朝" w:hAnsi="ＭＳ 明朝" w:eastAsia="ＭＳ 明朝"/>
                <w:sz w:val="20"/>
              </w:rPr>
            </w:pPr>
            <w:r>
              <w:rPr>
                <w:rFonts w:hint="eastAsia" w:ascii="ＭＳ 明朝" w:hAnsi="ＭＳ 明朝" w:eastAsia="ＭＳ 明朝"/>
                <w:sz w:val="20"/>
              </w:rPr>
              <w:t>5</w:t>
            </w:r>
          </w:p>
        </w:tc>
        <w:tc>
          <w:tcPr>
            <w:tcW w:w="4958" w:type="dxa"/>
            <w:vAlign w:val="top"/>
          </w:tcPr>
          <w:p>
            <w:pPr>
              <w:pStyle w:val="0"/>
              <w:spacing w:line="280" w:lineRule="exact"/>
              <w:jc w:val="both"/>
              <w:rPr>
                <w:rFonts w:hint="default" w:ascii="ＭＳ ゴシック" w:hAnsi="ＭＳ ゴシック" w:eastAsia="ＭＳ ゴシック"/>
                <w:sz w:val="20"/>
              </w:rPr>
            </w:pPr>
            <w:r>
              <w:rPr>
                <w:rFonts w:hint="eastAsia" w:ascii="ＭＳ ゴシック" w:hAnsi="ＭＳ ゴシック" w:eastAsia="ＭＳ ゴシック"/>
                <w:sz w:val="20"/>
                <w:shd w:val="clear" w:color="auto" w:fill="FFFFFF"/>
              </w:rPr>
              <w:t>三重県または他県のアーティストや美大生に展示の場（ギャラリー）として貸し出す。複数募って芸術のトリエンナーレをしても町おこしをしても良いと思います。</w:t>
            </w:r>
          </w:p>
        </w:tc>
        <w:tc>
          <w:tcPr>
            <w:tcW w:w="4676" w:type="dxa"/>
            <w:vAlign w:val="top"/>
          </w:tcPr>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いなべ市は空き家バンクの需要が高いため、バンク登録し売却及び賃貸できるよう進めていますが、今後、需要が減ってきた際には行政主導によりお試し体験住宅や多目的ギャラリーとすることを検討しております。</w:t>
            </w:r>
          </w:p>
        </w:tc>
      </w:tr>
    </w:tbl>
    <w:p>
      <w:pPr>
        <w:pStyle w:val="0"/>
        <w:rPr>
          <w:rFonts w:hint="default" w:ascii="ＭＳ ゴシック" w:hAnsi="ＭＳ ゴシック" w:eastAsia="ＭＳ ゴシック"/>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2F5395" w:themeColor="accent1" w:themeShade="BF"/>
    </w:rPr>
  </w:style>
  <w:style w:type="paragraph" w:styleId="32">
    <w:name w:val="Intense Quote"/>
    <w:basedOn w:val="0"/>
    <w:next w:val="0"/>
    <w:link w:val="33"/>
    <w:uiPriority w:val="0"/>
    <w:qFormat/>
    <w:pPr>
      <w:pBdr>
        <w:top w:val="single" w:color="2F5395" w:themeColor="accent1" w:themeShade="BF" w:sz="4" w:space="10"/>
        <w:bottom w:val="single" w:color="2F5395" w:themeColor="accent1" w:themeShade="BF" w:sz="4" w:space="10"/>
      </w:pBdr>
      <w:spacing w:before="360" w:beforeLines="0" w:beforeAutospacing="0" w:after="360" w:afterLines="0" w:afterAutospacing="0"/>
      <w:ind w:left="864" w:right="864"/>
      <w:jc w:val="center"/>
    </w:pPr>
    <w:rPr>
      <w:i w:val="1"/>
      <w:color w:val="2F5395" w:themeColor="accent1" w:themeShade="BF"/>
    </w:rPr>
  </w:style>
  <w:style w:type="character" w:styleId="33" w:customStyle="1">
    <w:name w:val="引用文 2 (文字)"/>
    <w:basedOn w:val="10"/>
    <w:next w:val="33"/>
    <w:link w:val="32"/>
    <w:uiPriority w:val="0"/>
    <w:rPr>
      <w:i w:val="1"/>
      <w:color w:val="2F5395" w:themeColor="accent1" w:themeShade="BF"/>
    </w:rPr>
  </w:style>
  <w:style w:type="character" w:styleId="34">
    <w:name w:val="Intense Reference"/>
    <w:basedOn w:val="10"/>
    <w:next w:val="34"/>
    <w:link w:val="0"/>
    <w:uiPriority w:val="0"/>
    <w:qFormat/>
    <w:rPr>
      <w:b w:val="1"/>
      <w:smallCaps w:val="1"/>
      <w:color w:val="2F5395"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2</Pages>
  <Words>17</Words>
  <Characters>2733</Characters>
  <Application>JUST Note</Application>
  <Lines>157</Lines>
  <Paragraphs>48</Paragraphs>
  <CharactersWithSpaces>2740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直也</dc:creator>
  <cp:lastModifiedBy>高野 真輔</cp:lastModifiedBy>
  <cp:lastPrinted>2026-03-11T08:06:35Z</cp:lastPrinted>
  <dcterms:created xsi:type="dcterms:W3CDTF">2026-03-10T01:23:00Z</dcterms:created>
  <dcterms:modified xsi:type="dcterms:W3CDTF">2026-03-11T06:06:29Z</dcterms:modified>
  <cp:revision>3</cp:revision>
</cp:coreProperties>
</file>